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7F82" w:rsidRDefault="002A113F">
      <w:pPr>
        <w:framePr w:wrap="auto" w:yAlign="inline"/>
        <w:spacing w:line="360" w:lineRule="auto"/>
        <w:jc w:val="center"/>
        <w:outlineLvl w:val="0"/>
        <w:rPr>
          <w:rFonts w:ascii="宋体" w:eastAsia="宋体" w:hAnsi="宋体" w:cs="宋体" w:hint="default"/>
          <w:b/>
          <w:bCs/>
          <w:sz w:val="32"/>
          <w:szCs w:val="32"/>
        </w:rPr>
      </w:pPr>
      <w:r>
        <w:rPr>
          <w:rFonts w:ascii="宋体" w:eastAsia="宋体" w:hAnsi="宋体" w:cs="宋体"/>
          <w:b/>
          <w:bCs/>
          <w:sz w:val="32"/>
          <w:szCs w:val="32"/>
        </w:rPr>
        <w:t>广东碧桂园职业学院网络安全态势感知系统采购</w:t>
      </w:r>
      <w:r>
        <w:rPr>
          <w:rFonts w:ascii="宋体" w:eastAsia="宋体" w:hAnsi="宋体" w:cs="宋体"/>
          <w:b/>
          <w:bCs/>
          <w:sz w:val="32"/>
          <w:szCs w:val="32"/>
          <w:lang w:val="zh-TW" w:eastAsia="zh-TW"/>
        </w:rPr>
        <w:t>需求书</w:t>
      </w:r>
    </w:p>
    <w:p w:rsidR="002A7F82" w:rsidRDefault="002A113F">
      <w:pPr>
        <w:pStyle w:val="10"/>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 xml:space="preserve">    一、采购范围</w:t>
      </w:r>
    </w:p>
    <w:p w:rsidR="002A7F82" w:rsidRDefault="002A113F">
      <w:pPr>
        <w:pStyle w:val="10"/>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数量清单如下</w:t>
      </w:r>
      <w:r>
        <w:rPr>
          <w:rFonts w:ascii="宋体" w:eastAsia="宋体" w:hAnsi="宋体" w:cs="宋体"/>
          <w:sz w:val="24"/>
          <w:szCs w:val="24"/>
          <w:lang w:val="zh-TW"/>
        </w:rPr>
        <w:t>：</w:t>
      </w:r>
    </w:p>
    <w:tbl>
      <w:tblPr>
        <w:tblW w:w="76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
        <w:gridCol w:w="4526"/>
        <w:gridCol w:w="993"/>
        <w:gridCol w:w="1161"/>
      </w:tblGrid>
      <w:tr w:rsidR="002A7F82">
        <w:trPr>
          <w:trHeight w:val="608"/>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序号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设备（货物）名称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单位</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b/>
                <w:bCs/>
                <w:sz w:val="24"/>
                <w:szCs w:val="24"/>
                <w:lang w:val="zh-TW" w:eastAsia="zh-TW"/>
              </w:rPr>
              <w:t>数量</w:t>
            </w:r>
          </w:p>
        </w:tc>
      </w:tr>
      <w:tr w:rsidR="002A7F82">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1</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framePr w:wrap="around"/>
              <w:widowControl/>
              <w:jc w:val="center"/>
              <w:rPr>
                <w:rFonts w:ascii="宋体" w:eastAsia="宋体" w:hAnsi="宋体" w:cs="宋体" w:hint="default"/>
                <w:lang w:val="zh-TW" w:eastAsia="zh-TW"/>
              </w:rPr>
            </w:pPr>
            <w:r w:rsidRPr="002A113F">
              <w:rPr>
                <w:rFonts w:ascii="宋体" w:eastAsia="宋体" w:hAnsi="宋体" w:cs="宋体" w:hint="cs"/>
              </w:rPr>
              <w:t>安全态势感知平台（含硬件、软件、</w:t>
            </w:r>
            <w:r w:rsidRPr="002A113F">
              <w:rPr>
                <w:rFonts w:ascii="宋体" w:eastAsia="宋体" w:hAnsi="宋体" w:cs="宋体" w:hint="default"/>
              </w:rPr>
              <w:t>3年软件升级及原厂服务）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套</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7F82"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1</w:t>
            </w:r>
          </w:p>
        </w:tc>
      </w:tr>
      <w:tr w:rsidR="002A113F">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2</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Pr="002A113F" w:rsidRDefault="002A113F" w:rsidP="002A113F">
            <w:pPr>
              <w:framePr w:wrap="auto" w:yAlign="inline"/>
              <w:widowControl/>
              <w:jc w:val="center"/>
              <w:rPr>
                <w:rFonts w:ascii="宋体" w:eastAsia="宋体" w:hAnsi="宋体" w:cs="宋体" w:hint="default"/>
              </w:rPr>
            </w:pPr>
            <w:r w:rsidRPr="002A113F">
              <w:rPr>
                <w:rFonts w:ascii="宋体" w:eastAsia="宋体" w:hAnsi="宋体" w:cs="宋体" w:hint="cs"/>
              </w:rPr>
              <w:t>探针设备（含硬件、软件、</w:t>
            </w:r>
            <w:r w:rsidRPr="002A113F">
              <w:rPr>
                <w:rFonts w:ascii="宋体" w:eastAsia="宋体" w:hAnsi="宋体" w:cs="宋体" w:hint="default"/>
              </w:rPr>
              <w:t>3年软件升级及原厂服务）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台</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1</w:t>
            </w:r>
          </w:p>
        </w:tc>
      </w:tr>
      <w:tr w:rsidR="002A113F">
        <w:trPr>
          <w:trHeight w:val="35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3</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Pr="002A113F" w:rsidRDefault="002A113F">
            <w:pPr>
              <w:framePr w:wrap="around"/>
              <w:widowControl/>
              <w:jc w:val="center"/>
              <w:rPr>
                <w:rFonts w:ascii="宋体" w:eastAsia="宋体" w:hAnsi="宋体" w:cs="宋体" w:hint="default"/>
              </w:rPr>
            </w:pPr>
            <w:r w:rsidRPr="002A113F">
              <w:rPr>
                <w:rFonts w:ascii="宋体" w:eastAsia="宋体" w:hAnsi="宋体" w:cs="宋体" w:hint="cs"/>
              </w:rPr>
              <w:t>安全运维服务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年</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A113F" w:rsidRDefault="002A113F">
            <w:pPr>
              <w:pStyle w:val="10"/>
              <w:framePr w:wrap="auto" w:yAlign="inline"/>
              <w:spacing w:line="360" w:lineRule="auto"/>
              <w:ind w:firstLine="0"/>
              <w:jc w:val="center"/>
              <w:rPr>
                <w:rFonts w:ascii="宋体" w:eastAsia="宋体" w:hAnsi="宋体" w:cs="宋体" w:hint="default"/>
              </w:rPr>
            </w:pPr>
            <w:r>
              <w:rPr>
                <w:rFonts w:ascii="宋体" w:eastAsia="宋体" w:hAnsi="宋体" w:cs="宋体"/>
              </w:rPr>
              <w:t>1</w:t>
            </w:r>
          </w:p>
        </w:tc>
      </w:tr>
    </w:tbl>
    <w:p w:rsidR="002A7F82" w:rsidRDefault="002A7F82">
      <w:pPr>
        <w:pStyle w:val="10"/>
        <w:framePr w:wrap="auto" w:yAlign="inline"/>
        <w:ind w:firstLine="0"/>
        <w:jc w:val="center"/>
        <w:rPr>
          <w:rFonts w:ascii="宋体" w:eastAsia="宋体" w:hAnsi="宋体" w:cs="宋体" w:hint="default"/>
          <w:sz w:val="24"/>
          <w:szCs w:val="24"/>
        </w:rPr>
      </w:pPr>
    </w:p>
    <w:p w:rsidR="002A7F82" w:rsidRDefault="002A113F">
      <w:pPr>
        <w:pStyle w:val="10"/>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w:t>
      </w:r>
      <w:r>
        <w:rPr>
          <w:rFonts w:ascii="宋体" w:eastAsia="宋体" w:hAnsi="宋体" w:cs="宋体" w:hint="default"/>
          <w:sz w:val="24"/>
          <w:szCs w:val="24"/>
        </w:rPr>
        <w:t xml:space="preserve">  </w:t>
      </w:r>
      <w:r>
        <w:rPr>
          <w:rFonts w:ascii="宋体" w:eastAsia="宋体" w:hAnsi="宋体" w:cs="宋体"/>
          <w:sz w:val="24"/>
          <w:szCs w:val="24"/>
        </w:rPr>
        <w:t>2.</w:t>
      </w:r>
      <w:r>
        <w:rPr>
          <w:rFonts w:ascii="宋体" w:eastAsia="宋体" w:hAnsi="宋体" w:cs="宋体"/>
          <w:sz w:val="24"/>
          <w:szCs w:val="24"/>
          <w:lang w:val="zh-TW" w:eastAsia="zh-TW"/>
        </w:rPr>
        <w:t>供应商需完成如下事项：</w:t>
      </w:r>
    </w:p>
    <w:p w:rsidR="002A7F82" w:rsidRDefault="002A113F">
      <w:pPr>
        <w:pStyle w:val="10"/>
        <w:framePr w:wrap="auto" w:yAlign="inline"/>
        <w:spacing w:line="360" w:lineRule="auto"/>
        <w:ind w:firstLineChars="200" w:firstLine="480"/>
        <w:rPr>
          <w:rFonts w:ascii="宋体" w:eastAsia="宋体" w:hAnsi="宋体" w:cs="宋体" w:hint="default"/>
          <w:sz w:val="24"/>
          <w:szCs w:val="24"/>
          <w:lang w:val="zh-TW" w:eastAsia="zh-TW"/>
        </w:rPr>
      </w:pPr>
      <w:r>
        <w:rPr>
          <w:rFonts w:ascii="宋体" w:eastAsia="宋体" w:hAnsi="宋体" w:cs="宋体"/>
          <w:sz w:val="24"/>
          <w:szCs w:val="24"/>
          <w:lang w:val="zh-TW" w:eastAsia="zh-TW"/>
        </w:rPr>
        <w:t>供应商报价需包括设备及相关附件的采购、包装、送货、安装、验收、培训、税费、技术服务（包括技术资料的提供）、保修期保障、其它费用等一切支出。</w:t>
      </w:r>
    </w:p>
    <w:p w:rsidR="002A7F82" w:rsidRDefault="002A113F">
      <w:pPr>
        <w:pStyle w:val="10"/>
        <w:framePr w:wrap="auto" w:yAlign="inline"/>
        <w:spacing w:line="360" w:lineRule="auto"/>
        <w:ind w:firstLine="0"/>
        <w:rPr>
          <w:rFonts w:ascii="宋体" w:eastAsia="宋体" w:hAnsi="宋体" w:cs="宋体" w:hint="default"/>
          <w:b/>
          <w:bCs/>
          <w:sz w:val="24"/>
          <w:szCs w:val="24"/>
          <w:lang w:val="zh-TW"/>
        </w:rPr>
      </w:pPr>
      <w:r>
        <w:rPr>
          <w:rFonts w:ascii="宋体" w:eastAsia="宋体" w:hAnsi="宋体" w:cs="宋体"/>
          <w:b/>
          <w:bCs/>
          <w:sz w:val="24"/>
          <w:szCs w:val="24"/>
          <w:lang w:val="zh-TW" w:eastAsia="zh-TW"/>
        </w:rPr>
        <w:t xml:space="preserve">    </w:t>
      </w:r>
    </w:p>
    <w:p w:rsidR="002A7F82" w:rsidRDefault="002A113F">
      <w:pPr>
        <w:pStyle w:val="10"/>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cs="宋体"/>
          <w:b/>
          <w:bCs/>
          <w:sz w:val="24"/>
          <w:szCs w:val="24"/>
          <w:lang w:val="zh-TW" w:eastAsia="zh-TW"/>
        </w:rPr>
        <w:t>二、商务需求</w:t>
      </w:r>
    </w:p>
    <w:p w:rsidR="002A7F82" w:rsidRDefault="002A113F">
      <w:pPr>
        <w:pStyle w:val="10"/>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rPr>
        <w:t xml:space="preserve">    1.</w:t>
      </w:r>
      <w:r>
        <w:rPr>
          <w:rFonts w:ascii="宋体" w:eastAsia="宋体" w:hAnsi="宋体" w:cs="宋体"/>
          <w:sz w:val="24"/>
          <w:szCs w:val="24"/>
          <w:lang w:val="zh-TW" w:eastAsia="zh-TW"/>
        </w:rPr>
        <w:t>对供应商的资格要求：</w:t>
      </w:r>
    </w:p>
    <w:p w:rsidR="002A7F82" w:rsidRPr="002A113F" w:rsidRDefault="002A113F">
      <w:pPr>
        <w:pStyle w:val="10"/>
        <w:framePr w:wrap="auto" w:yAlign="inline"/>
        <w:spacing w:line="360" w:lineRule="auto"/>
        <w:ind w:firstLine="480"/>
        <w:rPr>
          <w:rFonts w:ascii="宋体" w:eastAsia="PMingLiU" w:hAnsi="宋体" w:cs="宋体" w:hint="default"/>
          <w:color w:val="auto"/>
          <w:sz w:val="24"/>
          <w:szCs w:val="24"/>
          <w:lang w:val="zh-TW"/>
        </w:rPr>
      </w:pPr>
      <w:r>
        <w:rPr>
          <w:rFonts w:ascii="宋体" w:eastAsia="宋体" w:hAnsi="宋体" w:cs="宋体"/>
          <w:sz w:val="24"/>
          <w:szCs w:val="24"/>
          <w:lang w:val="zh-TW"/>
        </w:rPr>
        <w:t>（1）</w:t>
      </w:r>
      <w:r>
        <w:rPr>
          <w:rFonts w:ascii="宋体" w:eastAsia="宋体" w:hAnsi="宋体" w:cs="宋体"/>
          <w:sz w:val="24"/>
          <w:szCs w:val="24"/>
          <w:lang w:val="zh-TW" w:eastAsia="zh-TW"/>
        </w:rPr>
        <w:t>对供应商的资格要求：</w:t>
      </w:r>
      <w:r w:rsidRPr="002A113F">
        <w:rPr>
          <w:rFonts w:ascii="宋体" w:eastAsia="宋体" w:hAnsi="宋体" w:cs="宋体" w:hint="cs"/>
          <w:sz w:val="24"/>
          <w:szCs w:val="24"/>
          <w:lang w:val="zh-TW" w:eastAsia="zh-TW"/>
        </w:rPr>
        <w:t>国内（指按国家有关规定要求注册）注册资金</w:t>
      </w:r>
      <w:r w:rsidR="00B022E9">
        <w:rPr>
          <w:rFonts w:ascii="宋体" w:eastAsia="PMingLiU" w:hAnsi="宋体" w:cs="宋体" w:hint="default"/>
          <w:sz w:val="24"/>
          <w:szCs w:val="24"/>
          <w:lang w:val="zh-TW" w:eastAsia="zh-TW"/>
        </w:rPr>
        <w:t>500</w:t>
      </w:r>
      <w:r w:rsidRPr="002A113F">
        <w:rPr>
          <w:rFonts w:ascii="宋体" w:eastAsia="宋体" w:hAnsi="宋体" w:cs="宋体" w:hint="default"/>
          <w:sz w:val="24"/>
          <w:szCs w:val="24"/>
          <w:lang w:val="zh-TW" w:eastAsia="zh-TW"/>
        </w:rPr>
        <w:t>万元（含</w:t>
      </w:r>
      <w:r w:rsidR="00B022E9">
        <w:rPr>
          <w:rFonts w:ascii="宋体" w:eastAsia="PMingLiU" w:hAnsi="宋体" w:cs="宋体" w:hint="default"/>
          <w:sz w:val="24"/>
          <w:szCs w:val="24"/>
          <w:lang w:val="zh-TW" w:eastAsia="zh-TW"/>
        </w:rPr>
        <w:t>500</w:t>
      </w:r>
      <w:r w:rsidRPr="002A113F">
        <w:rPr>
          <w:rFonts w:ascii="宋体" w:eastAsia="宋体" w:hAnsi="宋体" w:cs="宋体" w:hint="default"/>
          <w:sz w:val="24"/>
          <w:szCs w:val="24"/>
          <w:lang w:val="zh-TW" w:eastAsia="zh-TW"/>
        </w:rPr>
        <w:t>万元）以上，具备独立法人资格；具有信</w:t>
      </w:r>
      <w:r>
        <w:rPr>
          <w:rFonts w:ascii="宋体" w:eastAsia="宋体" w:hAnsi="宋体" w:cs="宋体" w:hint="default"/>
          <w:sz w:val="24"/>
          <w:szCs w:val="24"/>
          <w:lang w:val="zh-TW" w:eastAsia="zh-TW"/>
        </w:rPr>
        <w:t>息安全服务相关资质证书，具有履行合同所必须的设备和专业技术能力</w:t>
      </w:r>
      <w:r>
        <w:rPr>
          <w:rFonts w:ascii="宋体" w:eastAsia="宋体" w:hAnsi="宋体" w:cs="宋体"/>
          <w:sz w:val="24"/>
          <w:szCs w:val="24"/>
          <w:lang w:val="zh-TW"/>
        </w:rPr>
        <w:t>。</w:t>
      </w:r>
    </w:p>
    <w:p w:rsidR="002A7F82" w:rsidRDefault="002A113F">
      <w:pPr>
        <w:pStyle w:val="10"/>
        <w:framePr w:wrap="auto" w:yAlign="inline"/>
        <w:spacing w:line="360" w:lineRule="auto"/>
        <w:ind w:firstLine="480"/>
        <w:rPr>
          <w:rFonts w:ascii="宋体" w:eastAsia="宋体" w:hAnsi="宋体" w:cs="宋体" w:hint="default"/>
          <w:color w:val="auto"/>
          <w:sz w:val="24"/>
          <w:szCs w:val="24"/>
          <w:u w:color="0000FF"/>
        </w:rPr>
      </w:pPr>
      <w:r>
        <w:rPr>
          <w:rFonts w:ascii="宋体" w:eastAsia="宋体" w:hAnsi="宋体" w:cs="宋体"/>
          <w:color w:val="auto"/>
          <w:sz w:val="24"/>
          <w:szCs w:val="24"/>
          <w:lang w:val="zh-TW"/>
        </w:rPr>
        <w:t>（2）</w:t>
      </w:r>
      <w:r>
        <w:rPr>
          <w:rFonts w:ascii="宋体" w:eastAsia="宋体" w:hAnsi="宋体" w:cs="宋体" w:hint="cs"/>
          <w:color w:val="auto"/>
          <w:sz w:val="24"/>
          <w:szCs w:val="24"/>
          <w:lang w:val="zh-TW"/>
        </w:rPr>
        <w:t>投标人的证明文件不符合标</w:t>
      </w:r>
      <w:r>
        <w:rPr>
          <w:rFonts w:ascii="宋体" w:eastAsia="宋体" w:hAnsi="宋体" w:cs="宋体"/>
          <w:color w:val="auto"/>
          <w:sz w:val="24"/>
          <w:szCs w:val="24"/>
          <w:lang w:val="zh-TW"/>
        </w:rPr>
        <w:t>“</w:t>
      </w:r>
      <w:r>
        <w:rPr>
          <w:rFonts w:ascii="宋体" w:eastAsia="宋体" w:hAnsi="宋体" w:cs="宋体" w:hint="cs"/>
          <w:color w:val="auto"/>
          <w:sz w:val="24"/>
          <w:szCs w:val="24"/>
          <w:lang w:val="zh-TW"/>
        </w:rPr>
        <w:t>★</w:t>
      </w:r>
      <w:r>
        <w:rPr>
          <w:rFonts w:ascii="宋体" w:eastAsia="宋体" w:hAnsi="宋体" w:cs="宋体"/>
          <w:color w:val="auto"/>
          <w:sz w:val="24"/>
          <w:szCs w:val="24"/>
          <w:lang w:val="zh-TW"/>
        </w:rPr>
        <w:t>”</w:t>
      </w:r>
      <w:r>
        <w:rPr>
          <w:rFonts w:ascii="宋体" w:eastAsia="宋体" w:hAnsi="宋体" w:cs="宋体" w:hint="cs"/>
          <w:color w:val="auto"/>
          <w:sz w:val="24"/>
          <w:szCs w:val="24"/>
          <w:lang w:val="zh-TW"/>
        </w:rPr>
        <w:t>的任一项的，则视为未实质响应招标要求，取消其投标资格。</w:t>
      </w:r>
    </w:p>
    <w:p w:rsidR="002A7F82" w:rsidRDefault="002A113F">
      <w:pPr>
        <w:pStyle w:val="10"/>
        <w:framePr w:wrap="auto" w:yAlign="inline"/>
        <w:spacing w:line="360" w:lineRule="auto"/>
        <w:ind w:firstLine="468"/>
        <w:rPr>
          <w:rFonts w:ascii="宋体" w:eastAsia="宋体" w:hAnsi="宋体" w:cs="宋体" w:hint="default"/>
          <w:color w:val="auto"/>
          <w:sz w:val="24"/>
          <w:szCs w:val="24"/>
          <w:lang w:val="zh-TW" w:eastAsia="zh-TW"/>
        </w:rPr>
      </w:pPr>
      <w:r>
        <w:rPr>
          <w:rFonts w:ascii="宋体" w:eastAsia="宋体" w:hAnsi="宋体" w:cs="宋体"/>
          <w:color w:val="auto"/>
          <w:sz w:val="24"/>
          <w:szCs w:val="24"/>
        </w:rPr>
        <w:t>2.</w:t>
      </w:r>
      <w:r w:rsidRPr="002A113F">
        <w:rPr>
          <w:rFonts w:hint="cs"/>
        </w:rPr>
        <w:t xml:space="preserve"> </w:t>
      </w:r>
      <w:r w:rsidRPr="002A113F">
        <w:rPr>
          <w:rFonts w:ascii="宋体" w:eastAsia="宋体" w:hAnsi="宋体" w:cs="宋体" w:hint="cs"/>
          <w:color w:val="auto"/>
          <w:sz w:val="24"/>
          <w:szCs w:val="24"/>
          <w:lang w:val="zh-TW" w:eastAsia="zh-TW"/>
        </w:rPr>
        <w:t>硬件产品必须具备公安部颁发的安全产品销售许可证，软件产品必须拥有软件著作权登记证书，如是代理</w:t>
      </w:r>
      <w:r>
        <w:rPr>
          <w:rFonts w:ascii="宋体" w:eastAsia="宋体" w:hAnsi="宋体" w:cs="宋体" w:hint="cs"/>
          <w:color w:val="auto"/>
          <w:sz w:val="24"/>
          <w:szCs w:val="24"/>
          <w:lang w:val="zh-TW" w:eastAsia="zh-TW"/>
        </w:rPr>
        <w:t>商投标则需提供产品制造厂商代理资质证书和厂商盖章的售后服务承诺</w:t>
      </w:r>
      <w:r w:rsidR="0030629B">
        <w:rPr>
          <w:rFonts w:ascii="宋体" w:eastAsia="宋体" w:hAnsi="宋体" w:cs="宋体"/>
          <w:color w:val="auto"/>
          <w:sz w:val="24"/>
          <w:szCs w:val="24"/>
          <w:lang w:val="zh-TW"/>
        </w:rPr>
        <w:t>函</w:t>
      </w:r>
      <w:r>
        <w:rPr>
          <w:rFonts w:ascii="宋体" w:eastAsia="宋体" w:hAnsi="宋体" w:cs="宋体"/>
          <w:color w:val="auto"/>
          <w:sz w:val="24"/>
          <w:szCs w:val="24"/>
          <w:lang w:val="zh-TW" w:eastAsia="zh-TW"/>
        </w:rPr>
        <w:t>。</w:t>
      </w:r>
    </w:p>
    <w:p w:rsidR="002A7F82" w:rsidRDefault="002A113F">
      <w:pPr>
        <w:pStyle w:val="10"/>
        <w:framePr w:wrap="auto" w:yAlign="inline"/>
        <w:spacing w:line="360" w:lineRule="auto"/>
        <w:ind w:firstLine="480"/>
        <w:rPr>
          <w:rFonts w:ascii="宋体" w:eastAsia="宋体" w:hAnsi="宋体" w:cs="宋体" w:hint="default"/>
          <w:sz w:val="24"/>
          <w:szCs w:val="24"/>
        </w:rPr>
      </w:pPr>
      <w:r>
        <w:rPr>
          <w:rFonts w:ascii="宋体" w:eastAsia="宋体" w:hAnsi="宋体" w:cs="宋体"/>
          <w:sz w:val="24"/>
          <w:szCs w:val="24"/>
        </w:rPr>
        <w:t xml:space="preserve">3. </w:t>
      </w:r>
      <w:r w:rsidR="0030629B">
        <w:rPr>
          <w:rFonts w:ascii="宋体" w:eastAsia="宋体" w:hAnsi="宋体" w:cs="宋体"/>
          <w:sz w:val="24"/>
          <w:szCs w:val="24"/>
        </w:rPr>
        <w:t>实施</w:t>
      </w:r>
      <w:r w:rsidR="0030629B">
        <w:rPr>
          <w:rFonts w:ascii="宋体" w:eastAsia="宋体" w:hAnsi="宋体" w:cs="宋体"/>
          <w:sz w:val="24"/>
          <w:szCs w:val="24"/>
          <w:lang w:val="zh-TW" w:eastAsia="zh-TW"/>
        </w:rPr>
        <w:t>要求：</w:t>
      </w:r>
      <w:r w:rsidR="0030629B">
        <w:rPr>
          <w:rFonts w:ascii="宋体" w:eastAsia="宋体" w:hAnsi="宋体" w:cs="宋体"/>
          <w:sz w:val="24"/>
          <w:szCs w:val="24"/>
          <w:lang w:val="zh-TW"/>
        </w:rPr>
        <w:t>实施</w:t>
      </w:r>
      <w:r>
        <w:rPr>
          <w:rFonts w:ascii="宋体" w:eastAsia="宋体" w:hAnsi="宋体" w:cs="宋体"/>
          <w:sz w:val="24"/>
          <w:szCs w:val="24"/>
          <w:lang w:val="zh-TW" w:eastAsia="zh-TW"/>
        </w:rPr>
        <w:t>人员必须是经过专业培训的专业人员，</w:t>
      </w:r>
      <w:r w:rsidR="0030629B">
        <w:rPr>
          <w:rFonts w:ascii="宋体" w:eastAsia="宋体" w:hAnsi="宋体" w:cs="宋体"/>
          <w:sz w:val="24"/>
          <w:szCs w:val="24"/>
          <w:lang w:val="zh-TW"/>
        </w:rPr>
        <w:t>具备设备原厂认证证书，实施</w:t>
      </w:r>
      <w:r w:rsidR="0030629B">
        <w:rPr>
          <w:rFonts w:ascii="宋体" w:eastAsia="宋体" w:hAnsi="宋体" w:cs="宋体"/>
          <w:sz w:val="24"/>
          <w:szCs w:val="24"/>
          <w:lang w:val="zh-TW" w:eastAsia="zh-TW"/>
        </w:rPr>
        <w:t>技术及操作过程符合行业安全规范，</w:t>
      </w:r>
      <w:r w:rsidR="0030629B">
        <w:rPr>
          <w:rFonts w:ascii="宋体" w:eastAsia="宋体" w:hAnsi="宋体" w:cs="宋体"/>
          <w:sz w:val="24"/>
          <w:szCs w:val="24"/>
          <w:lang w:val="zh-TW"/>
        </w:rPr>
        <w:t>实施</w:t>
      </w:r>
      <w:r w:rsidR="0030629B">
        <w:rPr>
          <w:rFonts w:ascii="宋体" w:eastAsia="宋体" w:hAnsi="宋体" w:cs="宋体"/>
          <w:sz w:val="24"/>
          <w:szCs w:val="24"/>
          <w:lang w:val="zh-TW" w:eastAsia="zh-TW"/>
        </w:rPr>
        <w:t>过程将严格按照规范的程序实施，确保</w:t>
      </w:r>
      <w:r w:rsidR="0030629B">
        <w:rPr>
          <w:rFonts w:ascii="宋体" w:eastAsia="宋体" w:hAnsi="宋体" w:cs="宋体"/>
          <w:sz w:val="24"/>
          <w:szCs w:val="24"/>
          <w:lang w:val="zh-TW"/>
        </w:rPr>
        <w:t>产品和</w:t>
      </w:r>
      <w:r>
        <w:rPr>
          <w:rFonts w:ascii="宋体" w:eastAsia="宋体" w:hAnsi="宋体" w:cs="宋体"/>
          <w:sz w:val="24"/>
          <w:szCs w:val="24"/>
          <w:lang w:val="zh-TW" w:eastAsia="zh-TW"/>
        </w:rPr>
        <w:t>周边设施的安全。</w:t>
      </w:r>
    </w:p>
    <w:p w:rsidR="002A7F82" w:rsidRDefault="002A113F">
      <w:pPr>
        <w:pStyle w:val="10"/>
        <w:framePr w:wrap="auto" w:yAlign="inline"/>
        <w:spacing w:line="360" w:lineRule="auto"/>
        <w:ind w:firstLine="480"/>
        <w:rPr>
          <w:rFonts w:ascii="宋体" w:eastAsia="宋体" w:hAnsi="宋体" w:cs="宋体" w:hint="default"/>
          <w:color w:val="auto"/>
          <w:sz w:val="24"/>
          <w:szCs w:val="24"/>
        </w:rPr>
      </w:pPr>
      <w:r>
        <w:rPr>
          <w:rFonts w:ascii="宋体" w:eastAsia="宋体" w:hAnsi="宋体" w:cs="宋体" w:hint="default"/>
          <w:sz w:val="24"/>
          <w:szCs w:val="24"/>
        </w:rPr>
        <w:t>4</w:t>
      </w:r>
      <w:r>
        <w:rPr>
          <w:rFonts w:ascii="宋体" w:eastAsia="宋体" w:hAnsi="宋体" w:cs="宋体"/>
          <w:sz w:val="24"/>
          <w:szCs w:val="24"/>
        </w:rPr>
        <w:t>.</w:t>
      </w:r>
      <w:r w:rsidRPr="002A113F">
        <w:rPr>
          <w:rFonts w:ascii="宋体" w:eastAsia="宋体" w:hAnsi="宋体" w:cs="宋体"/>
          <w:sz w:val="24"/>
          <w:szCs w:val="24"/>
          <w:lang w:val="zh-TW" w:eastAsia="zh-TW"/>
        </w:rPr>
        <w:t xml:space="preserve"> </w:t>
      </w:r>
      <w:r>
        <w:rPr>
          <w:rFonts w:ascii="宋体" w:eastAsia="宋体" w:hAnsi="宋体" w:cs="宋体"/>
          <w:sz w:val="24"/>
          <w:szCs w:val="24"/>
          <w:lang w:val="zh-TW" w:eastAsia="zh-TW"/>
        </w:rPr>
        <w:t>合同签字生效后，以甲方发出书面通知之日起，</w:t>
      </w:r>
      <w:r>
        <w:rPr>
          <w:rFonts w:ascii="宋体" w:eastAsia="宋体" w:hAnsi="宋体" w:cs="宋体"/>
          <w:sz w:val="24"/>
          <w:szCs w:val="24"/>
        </w:rPr>
        <w:t>15</w:t>
      </w:r>
      <w:r>
        <w:rPr>
          <w:rFonts w:ascii="宋体" w:eastAsia="宋体" w:hAnsi="宋体" w:cs="宋体"/>
          <w:sz w:val="24"/>
          <w:szCs w:val="24"/>
          <w:lang w:val="zh-TW" w:eastAsia="zh-TW"/>
        </w:rPr>
        <w:t>个工作日内将货物运达目的地并安装完毕。</w:t>
      </w:r>
    </w:p>
    <w:p w:rsidR="002A113F" w:rsidRDefault="002A113F" w:rsidP="002A113F">
      <w:pPr>
        <w:pStyle w:val="10"/>
        <w:framePr w:wrap="auto" w:yAlign="inline"/>
        <w:spacing w:line="360" w:lineRule="auto"/>
        <w:ind w:firstLineChars="200" w:firstLine="480"/>
        <w:rPr>
          <w:rFonts w:ascii="宋体" w:eastAsia="宋体" w:hAnsi="宋体" w:cs="宋体" w:hint="default"/>
          <w:sz w:val="24"/>
          <w:szCs w:val="24"/>
        </w:rPr>
      </w:pPr>
      <w:r>
        <w:rPr>
          <w:rFonts w:ascii="宋体" w:eastAsia="宋体" w:hAnsi="宋体" w:cs="宋体" w:hint="default"/>
          <w:sz w:val="24"/>
          <w:szCs w:val="24"/>
        </w:rPr>
        <w:t>5</w:t>
      </w:r>
      <w:r>
        <w:rPr>
          <w:rFonts w:ascii="宋体" w:eastAsia="宋体" w:hAnsi="宋体" w:cs="宋体"/>
          <w:sz w:val="24"/>
          <w:szCs w:val="24"/>
        </w:rPr>
        <w:t>.</w:t>
      </w:r>
      <w:r w:rsidRPr="002A113F">
        <w:rPr>
          <w:rFonts w:ascii="宋体" w:eastAsia="宋体" w:hAnsi="宋体" w:cs="宋体"/>
          <w:sz w:val="24"/>
          <w:szCs w:val="24"/>
          <w:lang w:val="zh-TW" w:eastAsia="zh-TW"/>
        </w:rPr>
        <w:t xml:space="preserve"> </w:t>
      </w:r>
      <w:r>
        <w:rPr>
          <w:rFonts w:ascii="宋体" w:eastAsia="宋体" w:hAnsi="宋体" w:cs="宋体"/>
          <w:sz w:val="24"/>
          <w:szCs w:val="24"/>
          <w:lang w:val="zh-TW" w:eastAsia="zh-TW"/>
        </w:rPr>
        <w:t>付款方式：</w:t>
      </w:r>
    </w:p>
    <w:p w:rsidR="002A113F" w:rsidRDefault="002A113F" w:rsidP="002A113F">
      <w:pPr>
        <w:pStyle w:val="10"/>
        <w:framePr w:wrap="auto" w:yAlign="inline"/>
        <w:spacing w:line="360" w:lineRule="auto"/>
        <w:ind w:firstLine="0"/>
        <w:rPr>
          <w:rFonts w:ascii="宋体" w:eastAsia="宋体" w:hAnsi="宋体" w:cs="宋体" w:hint="default"/>
          <w:sz w:val="24"/>
          <w:szCs w:val="24"/>
        </w:rPr>
      </w:pPr>
      <w:r>
        <w:rPr>
          <w:rFonts w:ascii="宋体" w:eastAsia="宋体" w:hAnsi="宋体" w:cs="宋体"/>
          <w:sz w:val="24"/>
          <w:szCs w:val="24"/>
          <w:lang w:val="zh-TW" w:eastAsia="zh-TW"/>
        </w:rPr>
        <w:lastRenderedPageBreak/>
        <w:t xml:space="preserve">    （</w:t>
      </w:r>
      <w:r>
        <w:rPr>
          <w:rFonts w:ascii="宋体" w:eastAsia="宋体" w:hAnsi="宋体" w:cs="宋体"/>
          <w:sz w:val="24"/>
          <w:szCs w:val="24"/>
        </w:rPr>
        <w:t>1</w:t>
      </w:r>
      <w:r>
        <w:rPr>
          <w:rFonts w:ascii="宋体" w:eastAsia="宋体" w:hAnsi="宋体" w:cs="宋体"/>
          <w:sz w:val="24"/>
          <w:szCs w:val="24"/>
          <w:lang w:val="zh-TW" w:eastAsia="zh-TW"/>
        </w:rPr>
        <w:t>）</w:t>
      </w:r>
      <w:r>
        <w:rPr>
          <w:rFonts w:ascii="宋体" w:eastAsia="宋体" w:hAnsi="宋体" w:cs="宋体"/>
          <w:sz w:val="24"/>
          <w:szCs w:val="24"/>
          <w:lang w:val="zh-TW"/>
        </w:rPr>
        <w:t>项目实施完成</w:t>
      </w:r>
      <w:r>
        <w:rPr>
          <w:rFonts w:ascii="宋体" w:eastAsia="宋体" w:hAnsi="宋体" w:cs="宋体"/>
          <w:sz w:val="24"/>
          <w:szCs w:val="24"/>
          <w:lang w:val="zh-TW" w:eastAsia="zh-TW"/>
        </w:rPr>
        <w:t>后，甲乙双方办理正式竣工验收及结算手续后，甲方于</w:t>
      </w:r>
      <w:r>
        <w:rPr>
          <w:rFonts w:ascii="宋体" w:eastAsia="宋体" w:hAnsi="宋体" w:cs="宋体"/>
          <w:sz w:val="24"/>
          <w:szCs w:val="24"/>
        </w:rPr>
        <w:t>10</w:t>
      </w:r>
      <w:r>
        <w:rPr>
          <w:rFonts w:ascii="宋体" w:eastAsia="宋体" w:hAnsi="宋体" w:cs="宋体"/>
          <w:sz w:val="24"/>
          <w:szCs w:val="24"/>
          <w:lang w:val="zh-TW" w:eastAsia="zh-TW"/>
        </w:rPr>
        <w:t>个工作日内支付结算款的</w:t>
      </w:r>
      <w:r>
        <w:rPr>
          <w:rFonts w:ascii="宋体" w:eastAsia="宋体" w:hAnsi="宋体" w:cs="宋体"/>
          <w:sz w:val="24"/>
          <w:szCs w:val="24"/>
        </w:rPr>
        <w:t>95%</w:t>
      </w:r>
      <w:r>
        <w:rPr>
          <w:rFonts w:ascii="宋体" w:eastAsia="宋体" w:hAnsi="宋体" w:cs="宋体"/>
          <w:sz w:val="24"/>
          <w:szCs w:val="24"/>
          <w:lang w:val="zh-TW" w:eastAsia="zh-TW"/>
        </w:rPr>
        <w:t>。</w:t>
      </w:r>
    </w:p>
    <w:p w:rsidR="002A113F" w:rsidRDefault="002A113F" w:rsidP="002A113F">
      <w:pPr>
        <w:pStyle w:val="10"/>
        <w:framePr w:wrap="auto" w:yAlign="inline"/>
        <w:spacing w:line="360" w:lineRule="auto"/>
        <w:ind w:firstLine="480"/>
        <w:rPr>
          <w:rFonts w:ascii="宋体" w:eastAsia="PMingLiU" w:hAnsi="宋体" w:cs="宋体" w:hint="default"/>
          <w:sz w:val="24"/>
          <w:szCs w:val="24"/>
          <w:lang w:val="zh-TW" w:eastAsia="zh-TW"/>
        </w:rPr>
      </w:pPr>
      <w:r>
        <w:rPr>
          <w:rFonts w:ascii="宋体" w:eastAsia="宋体" w:hAnsi="宋体" w:cs="宋体"/>
          <w:sz w:val="24"/>
          <w:szCs w:val="24"/>
          <w:lang w:val="zh-TW" w:eastAsia="zh-TW"/>
        </w:rPr>
        <w:t>（</w:t>
      </w:r>
      <w:r>
        <w:rPr>
          <w:rFonts w:ascii="宋体" w:eastAsia="宋体" w:hAnsi="宋体" w:cs="宋体"/>
          <w:sz w:val="24"/>
          <w:szCs w:val="24"/>
        </w:rPr>
        <w:t>2</w:t>
      </w:r>
      <w:r>
        <w:rPr>
          <w:rFonts w:ascii="宋体" w:eastAsia="宋体" w:hAnsi="宋体" w:cs="宋体"/>
          <w:sz w:val="24"/>
          <w:szCs w:val="24"/>
          <w:lang w:val="zh-TW" w:eastAsia="zh-TW"/>
        </w:rPr>
        <w:t>）余款</w:t>
      </w:r>
      <w:r>
        <w:rPr>
          <w:rFonts w:ascii="宋体" w:eastAsia="宋体" w:hAnsi="宋体" w:cs="宋体"/>
          <w:sz w:val="24"/>
          <w:szCs w:val="24"/>
        </w:rPr>
        <w:t>5%</w:t>
      </w:r>
      <w:r>
        <w:rPr>
          <w:rFonts w:ascii="宋体" w:eastAsia="宋体" w:hAnsi="宋体" w:cs="宋体"/>
          <w:sz w:val="24"/>
          <w:szCs w:val="24"/>
          <w:lang w:val="zh-TW" w:eastAsia="zh-TW"/>
        </w:rPr>
        <w:t>作为质量保证金，甲方在</w:t>
      </w:r>
      <w:r>
        <w:rPr>
          <w:rFonts w:ascii="宋体" w:eastAsia="宋体" w:hAnsi="宋体" w:cs="宋体" w:hint="default"/>
          <w:sz w:val="24"/>
          <w:szCs w:val="24"/>
        </w:rPr>
        <w:t>3</w:t>
      </w:r>
      <w:r>
        <w:rPr>
          <w:rFonts w:ascii="宋体" w:eastAsia="宋体" w:hAnsi="宋体" w:cs="宋体"/>
          <w:sz w:val="24"/>
          <w:szCs w:val="24"/>
          <w:lang w:val="zh-TW" w:eastAsia="zh-TW"/>
        </w:rPr>
        <w:t>年产品质量保证期满后</w:t>
      </w:r>
      <w:r>
        <w:rPr>
          <w:rFonts w:ascii="宋体" w:eastAsia="宋体" w:hAnsi="宋体" w:cs="宋体"/>
          <w:sz w:val="24"/>
          <w:szCs w:val="24"/>
        </w:rPr>
        <w:t>10</w:t>
      </w:r>
      <w:r>
        <w:rPr>
          <w:rFonts w:ascii="宋体" w:eastAsia="宋体" w:hAnsi="宋体" w:cs="宋体"/>
          <w:sz w:val="24"/>
          <w:szCs w:val="24"/>
          <w:lang w:val="zh-TW" w:eastAsia="zh-TW"/>
        </w:rPr>
        <w:t>个工作日内无息向乙方结清余下货款。</w:t>
      </w:r>
    </w:p>
    <w:p w:rsidR="00C0699E" w:rsidRPr="00C0699E" w:rsidRDefault="00C0699E" w:rsidP="002A113F">
      <w:pPr>
        <w:pStyle w:val="10"/>
        <w:framePr w:wrap="auto" w:yAlign="inline"/>
        <w:spacing w:line="360" w:lineRule="auto"/>
        <w:ind w:firstLine="480"/>
        <w:rPr>
          <w:rFonts w:ascii="宋体" w:eastAsia="PMingLiU" w:hAnsi="宋体" w:cs="宋体" w:hint="default"/>
          <w:sz w:val="24"/>
          <w:szCs w:val="24"/>
          <w:lang w:val="zh-TW" w:eastAsia="zh-TW"/>
        </w:rPr>
      </w:pPr>
    </w:p>
    <w:p w:rsidR="00C0699E" w:rsidRPr="00C0699E" w:rsidRDefault="00C0699E" w:rsidP="00C0699E">
      <w:pPr>
        <w:pStyle w:val="10"/>
        <w:framePr w:wrap="auto" w:yAlign="inline"/>
        <w:spacing w:line="360" w:lineRule="auto"/>
        <w:ind w:firstLine="0"/>
        <w:rPr>
          <w:rFonts w:asciiTheme="minorEastAsia" w:eastAsiaTheme="minorEastAsia" w:hAnsiTheme="minorEastAsia" w:cs="宋体" w:hint="default"/>
          <w:b/>
          <w:sz w:val="24"/>
          <w:szCs w:val="24"/>
          <w:lang w:val="zh-TW" w:eastAsia="zh-TW"/>
        </w:rPr>
      </w:pPr>
      <w:r w:rsidRPr="00C0699E">
        <w:rPr>
          <w:rFonts w:asciiTheme="minorEastAsia" w:eastAsiaTheme="minorEastAsia" w:hAnsiTheme="minorEastAsia" w:cs="宋体" w:hint="cs"/>
          <w:b/>
          <w:sz w:val="24"/>
          <w:szCs w:val="24"/>
          <w:lang w:val="zh-TW" w:eastAsia="zh-TW"/>
        </w:rPr>
        <w:t>三、技术规格和要求：</w:t>
      </w:r>
    </w:p>
    <w:p w:rsidR="00C0699E" w:rsidRPr="00C0699E" w:rsidRDefault="00C0699E" w:rsidP="00C0699E">
      <w:pPr>
        <w:pStyle w:val="10"/>
        <w:framePr w:wrap="auto" w:yAlign="inline"/>
        <w:spacing w:line="360" w:lineRule="auto"/>
        <w:ind w:firstLine="480"/>
        <w:rPr>
          <w:rFonts w:asciiTheme="minorEastAsia" w:eastAsiaTheme="minorEastAsia" w:hAnsiTheme="minorEastAsia" w:cs="宋体" w:hint="default"/>
          <w:sz w:val="24"/>
          <w:szCs w:val="24"/>
          <w:lang w:val="zh-TW" w:eastAsia="zh-TW"/>
        </w:rPr>
      </w:pPr>
      <w:r w:rsidRPr="00C0699E">
        <w:rPr>
          <w:rFonts w:asciiTheme="minorEastAsia" w:eastAsiaTheme="minorEastAsia" w:hAnsiTheme="minorEastAsia" w:cs="宋体" w:hint="default"/>
          <w:sz w:val="24"/>
          <w:szCs w:val="24"/>
          <w:lang w:val="zh-TW" w:eastAsia="zh-TW"/>
        </w:rPr>
        <w:t>1</w:t>
      </w:r>
      <w:r>
        <w:rPr>
          <w:rFonts w:asciiTheme="minorEastAsia" w:eastAsiaTheme="minorEastAsia" w:hAnsiTheme="minorEastAsia" w:cs="宋体"/>
          <w:sz w:val="24"/>
          <w:szCs w:val="24"/>
          <w:lang w:val="zh-TW"/>
        </w:rPr>
        <w:t>．</w:t>
      </w:r>
      <w:r w:rsidRPr="00C0699E">
        <w:rPr>
          <w:rFonts w:asciiTheme="minorEastAsia" w:eastAsiaTheme="minorEastAsia" w:hAnsiTheme="minorEastAsia" w:cs="宋体" w:hint="default"/>
          <w:sz w:val="24"/>
          <w:szCs w:val="24"/>
          <w:lang w:val="zh-TW" w:eastAsia="zh-TW"/>
        </w:rPr>
        <w:t>总体要求</w:t>
      </w:r>
    </w:p>
    <w:p w:rsidR="00C0699E" w:rsidRPr="00C0699E" w:rsidRDefault="00C0699E" w:rsidP="00C0699E">
      <w:pPr>
        <w:pStyle w:val="10"/>
        <w:framePr w:wrap="auto" w:yAlign="inline"/>
        <w:spacing w:line="360" w:lineRule="auto"/>
        <w:ind w:firstLine="480"/>
        <w:rPr>
          <w:rFonts w:asciiTheme="minorEastAsia" w:eastAsiaTheme="minorEastAsia" w:hAnsiTheme="minorEastAsia" w:cs="宋体" w:hint="default"/>
          <w:sz w:val="24"/>
          <w:szCs w:val="24"/>
          <w:lang w:val="zh-TW" w:eastAsia="zh-TW"/>
        </w:rPr>
      </w:pPr>
      <w:r>
        <w:rPr>
          <w:rFonts w:asciiTheme="minorEastAsia" w:eastAsiaTheme="minorEastAsia" w:hAnsiTheme="minorEastAsia" w:cs="宋体"/>
          <w:sz w:val="24"/>
          <w:szCs w:val="24"/>
          <w:lang w:val="zh-TW"/>
        </w:rPr>
        <w:t>（</w:t>
      </w:r>
      <w:r w:rsidRPr="00C0699E">
        <w:rPr>
          <w:rFonts w:asciiTheme="minorEastAsia" w:eastAsiaTheme="minorEastAsia" w:hAnsiTheme="minorEastAsia" w:cs="宋体" w:hint="default"/>
          <w:sz w:val="24"/>
          <w:szCs w:val="24"/>
          <w:lang w:val="zh-TW" w:eastAsia="zh-TW"/>
        </w:rPr>
        <w:t>1</w:t>
      </w:r>
      <w:r>
        <w:rPr>
          <w:rFonts w:asciiTheme="minorEastAsia" w:eastAsiaTheme="minorEastAsia" w:hAnsiTheme="minorEastAsia" w:cs="宋体"/>
          <w:sz w:val="24"/>
          <w:szCs w:val="24"/>
          <w:lang w:val="zh-TW"/>
        </w:rPr>
        <w:t>）</w:t>
      </w:r>
      <w:r w:rsidRPr="00C0699E">
        <w:rPr>
          <w:rFonts w:asciiTheme="minorEastAsia" w:eastAsiaTheme="minorEastAsia" w:hAnsiTheme="minorEastAsia" w:cs="宋体" w:hint="default"/>
          <w:sz w:val="24"/>
          <w:szCs w:val="24"/>
          <w:lang w:val="zh-TW" w:eastAsia="zh-TW"/>
        </w:rPr>
        <w:t>为保护学院前期安全设备的投资，产品必须能够对接深信服防火墙、深信服EDR、深信服AC等设备，并实现联动。</w:t>
      </w:r>
    </w:p>
    <w:p w:rsidR="00C0699E" w:rsidRP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r>
        <w:rPr>
          <w:rFonts w:asciiTheme="minorEastAsia" w:eastAsiaTheme="minorEastAsia" w:hAnsiTheme="minorEastAsia" w:cs="宋体"/>
          <w:sz w:val="24"/>
          <w:szCs w:val="24"/>
          <w:lang w:val="zh-TW"/>
        </w:rPr>
        <w:t>（</w:t>
      </w:r>
      <w:r>
        <w:rPr>
          <w:rFonts w:asciiTheme="minorEastAsia" w:eastAsiaTheme="minorEastAsia" w:hAnsiTheme="minorEastAsia" w:cs="宋体" w:hint="default"/>
          <w:sz w:val="24"/>
          <w:szCs w:val="24"/>
          <w:lang w:val="zh-TW" w:eastAsia="zh-TW"/>
        </w:rPr>
        <w:t>2</w:t>
      </w:r>
      <w:r>
        <w:rPr>
          <w:rFonts w:asciiTheme="minorEastAsia" w:eastAsiaTheme="minorEastAsia" w:hAnsiTheme="minorEastAsia" w:cs="宋体"/>
          <w:sz w:val="24"/>
          <w:szCs w:val="24"/>
          <w:lang w:val="zh-TW"/>
        </w:rPr>
        <w:t>）</w:t>
      </w:r>
      <w:r w:rsidRPr="00C0699E">
        <w:rPr>
          <w:rFonts w:asciiTheme="minorEastAsia" w:eastAsiaTheme="minorEastAsia" w:hAnsiTheme="minorEastAsia" w:cs="宋体" w:hint="default"/>
          <w:sz w:val="24"/>
          <w:szCs w:val="24"/>
          <w:lang w:val="zh-TW" w:eastAsia="zh-TW"/>
        </w:rPr>
        <w:t>本项目产品功能及技术指标要求需提供相应截图并加盖产品原厂商公章证明。</w:t>
      </w:r>
    </w:p>
    <w:p w:rsidR="00C0699E" w:rsidRPr="00C0699E" w:rsidRDefault="00C0699E" w:rsidP="00C0699E">
      <w:pPr>
        <w:pStyle w:val="10"/>
        <w:framePr w:wrap="auto" w:yAlign="inline"/>
        <w:spacing w:line="360" w:lineRule="auto"/>
        <w:ind w:firstLine="480"/>
        <w:rPr>
          <w:rFonts w:asciiTheme="minorEastAsia" w:eastAsiaTheme="minorEastAsia" w:hAnsiTheme="minorEastAsia" w:cs="宋体" w:hint="default"/>
          <w:sz w:val="24"/>
          <w:szCs w:val="24"/>
          <w:lang w:val="zh-TW" w:eastAsia="zh-TW"/>
        </w:rPr>
      </w:pPr>
      <w:r w:rsidRPr="00C0699E">
        <w:rPr>
          <w:rFonts w:asciiTheme="minorEastAsia" w:eastAsiaTheme="minorEastAsia" w:hAnsiTheme="minorEastAsia" w:cs="宋体" w:hint="default"/>
          <w:sz w:val="24"/>
          <w:szCs w:val="24"/>
          <w:lang w:val="zh-TW" w:eastAsia="zh-TW"/>
        </w:rPr>
        <w:t>2</w:t>
      </w:r>
      <w:r>
        <w:rPr>
          <w:rFonts w:asciiTheme="minorEastAsia" w:eastAsiaTheme="minorEastAsia" w:hAnsiTheme="minorEastAsia" w:cs="宋体"/>
          <w:sz w:val="24"/>
          <w:szCs w:val="24"/>
          <w:lang w:val="zh-TW"/>
        </w:rPr>
        <w:t>．</w:t>
      </w:r>
      <w:r w:rsidRPr="00C0699E">
        <w:rPr>
          <w:rFonts w:asciiTheme="minorEastAsia" w:eastAsiaTheme="minorEastAsia" w:hAnsiTheme="minorEastAsia" w:cs="宋体" w:hint="default"/>
          <w:sz w:val="24"/>
          <w:szCs w:val="24"/>
          <w:lang w:val="zh-TW" w:eastAsia="zh-TW"/>
        </w:rPr>
        <w:t>技术参数要求</w:t>
      </w:r>
    </w:p>
    <w:p w:rsidR="002A113F" w:rsidRDefault="00C0699E" w:rsidP="00C0699E">
      <w:pPr>
        <w:pStyle w:val="10"/>
        <w:framePr w:wrap="auto" w:yAlign="inline"/>
        <w:spacing w:line="360" w:lineRule="auto"/>
        <w:ind w:firstLine="480"/>
        <w:rPr>
          <w:rFonts w:asciiTheme="minorEastAsia" w:eastAsiaTheme="minorEastAsia" w:hAnsiTheme="minorEastAsia" w:cs="宋体" w:hint="default"/>
          <w:sz w:val="24"/>
          <w:szCs w:val="24"/>
          <w:lang w:val="zh-TW"/>
        </w:rPr>
      </w:pPr>
      <w:r>
        <w:rPr>
          <w:rFonts w:asciiTheme="minorEastAsia" w:eastAsiaTheme="minorEastAsia" w:hAnsiTheme="minorEastAsia" w:cs="宋体"/>
          <w:sz w:val="24"/>
          <w:szCs w:val="24"/>
          <w:lang w:val="zh-TW"/>
        </w:rPr>
        <w:t>采购设备具体技术参数请见附表。</w:t>
      </w:r>
    </w:p>
    <w:p w:rsidR="00C0699E" w:rsidRDefault="00C0699E" w:rsidP="00C0699E">
      <w:pPr>
        <w:pStyle w:val="10"/>
        <w:framePr w:wrap="auto" w:yAlign="inline"/>
        <w:spacing w:line="360" w:lineRule="auto"/>
        <w:ind w:firstLine="480"/>
        <w:rPr>
          <w:rFonts w:asciiTheme="minorEastAsia" w:eastAsiaTheme="minorEastAsia" w:hAnsiTheme="minorEastAsia" w:cs="宋体" w:hint="default"/>
          <w:sz w:val="24"/>
          <w:szCs w:val="24"/>
          <w:lang w:val="zh-TW"/>
        </w:rPr>
      </w:pPr>
    </w:p>
    <w:p w:rsidR="00C0699E" w:rsidRDefault="00C0699E" w:rsidP="00C0699E">
      <w:pPr>
        <w:pStyle w:val="10"/>
        <w:framePr w:wrap="auto" w:yAlign="inline"/>
        <w:spacing w:line="360" w:lineRule="auto"/>
        <w:ind w:firstLine="0"/>
        <w:rPr>
          <w:rFonts w:ascii="宋体" w:eastAsia="宋体" w:hAnsi="宋体" w:cs="宋体" w:hint="default"/>
          <w:b/>
          <w:bCs/>
          <w:sz w:val="24"/>
          <w:szCs w:val="24"/>
          <w:lang w:val="zh-TW" w:eastAsia="zh-TW"/>
        </w:rPr>
      </w:pPr>
      <w:r>
        <w:rPr>
          <w:rFonts w:ascii="宋体" w:eastAsia="宋体" w:hAnsi="宋体"/>
          <w:b/>
        </w:rPr>
        <w:t>四、</w:t>
      </w:r>
      <w:r>
        <w:rPr>
          <w:rFonts w:ascii="宋体" w:eastAsia="宋体" w:hAnsi="宋体" w:cs="宋体"/>
          <w:b/>
          <w:bCs/>
          <w:sz w:val="24"/>
          <w:szCs w:val="24"/>
          <w:lang w:val="zh-TW" w:eastAsia="zh-TW"/>
        </w:rPr>
        <w:t>服务需求</w:t>
      </w:r>
    </w:p>
    <w:p w:rsidR="00C0699E" w:rsidRDefault="00C0699E" w:rsidP="00C0699E">
      <w:pPr>
        <w:pStyle w:val="10"/>
        <w:framePr w:wrap="auto" w:yAlign="inline"/>
        <w:spacing w:line="360" w:lineRule="auto"/>
        <w:ind w:firstLineChars="100" w:firstLine="240"/>
        <w:jc w:val="left"/>
        <w:rPr>
          <w:rFonts w:ascii="宋体" w:eastAsia="宋体" w:hAnsi="宋体" w:cs="宋体" w:hint="default"/>
          <w:sz w:val="24"/>
          <w:szCs w:val="24"/>
          <w:lang w:val="zh-TW"/>
        </w:rPr>
      </w:pPr>
      <w:r>
        <w:rPr>
          <w:rFonts w:ascii="宋体" w:eastAsia="宋体" w:hAnsi="宋体" w:cs="宋体"/>
          <w:sz w:val="24"/>
          <w:szCs w:val="24"/>
        </w:rPr>
        <w:t>1.</w:t>
      </w:r>
      <w:r>
        <w:rPr>
          <w:rFonts w:ascii="宋体" w:eastAsia="宋体" w:hAnsi="宋体" w:cs="宋体"/>
          <w:sz w:val="24"/>
          <w:szCs w:val="24"/>
          <w:lang w:val="zh-TW" w:eastAsia="zh-TW"/>
        </w:rPr>
        <w:t>乙方交付的产品质量保证期为</w:t>
      </w:r>
      <w:r>
        <w:rPr>
          <w:rFonts w:ascii="宋体" w:eastAsia="宋体" w:hAnsi="宋体" w:cs="宋体" w:hint="default"/>
          <w:sz w:val="24"/>
          <w:szCs w:val="24"/>
        </w:rPr>
        <w:t>3</w:t>
      </w:r>
      <w:r>
        <w:rPr>
          <w:rFonts w:ascii="宋体" w:eastAsia="宋体" w:hAnsi="宋体" w:cs="宋体"/>
          <w:sz w:val="24"/>
          <w:szCs w:val="24"/>
          <w:lang w:val="zh-TW" w:eastAsia="zh-TW"/>
        </w:rPr>
        <w:t>年，自该产品经甲方验收合格签字之日起算。</w:t>
      </w:r>
    </w:p>
    <w:p w:rsidR="00C0699E" w:rsidRDefault="00C0699E" w:rsidP="00C0699E">
      <w:pPr>
        <w:pStyle w:val="10"/>
        <w:framePr w:wrap="auto" w:yAlign="inline"/>
        <w:spacing w:line="360" w:lineRule="auto"/>
        <w:ind w:firstLineChars="100" w:firstLine="240"/>
        <w:jc w:val="left"/>
        <w:rPr>
          <w:rFonts w:ascii="宋体" w:eastAsia="宋体" w:hAnsi="宋体" w:cs="宋体" w:hint="default"/>
          <w:sz w:val="24"/>
          <w:szCs w:val="24"/>
          <w:lang w:val="zh-TW"/>
        </w:rPr>
      </w:pPr>
      <w:r>
        <w:rPr>
          <w:rFonts w:ascii="宋体" w:eastAsia="宋体" w:hAnsi="宋体" w:cs="宋体"/>
          <w:sz w:val="24"/>
          <w:szCs w:val="24"/>
        </w:rPr>
        <w:t>2.</w:t>
      </w:r>
      <w:r w:rsidR="00B022E9">
        <w:rPr>
          <w:rFonts w:ascii="宋体" w:eastAsia="宋体" w:hAnsi="宋体" w:cs="宋体"/>
          <w:sz w:val="24"/>
          <w:szCs w:val="24"/>
          <w:lang w:val="zh-TW"/>
        </w:rPr>
        <w:t>在</w:t>
      </w:r>
      <w:r w:rsidR="00B022E9">
        <w:rPr>
          <w:rFonts w:ascii="宋体" w:eastAsia="宋体" w:hAnsi="宋体" w:cs="宋体"/>
          <w:sz w:val="24"/>
          <w:szCs w:val="24"/>
          <w:lang w:val="zh-TW" w:eastAsia="zh-TW"/>
        </w:rPr>
        <w:t>质量保证期</w:t>
      </w:r>
      <w:r w:rsidR="00B022E9">
        <w:rPr>
          <w:rFonts w:ascii="宋体" w:eastAsia="宋体" w:hAnsi="宋体" w:cs="宋体"/>
          <w:sz w:val="24"/>
          <w:szCs w:val="24"/>
          <w:lang w:val="zh-TW"/>
        </w:rPr>
        <w:t>内</w:t>
      </w:r>
      <w:r w:rsidR="00B022E9">
        <w:rPr>
          <w:rFonts w:ascii="宋体" w:eastAsia="宋体" w:hAnsi="宋体" w:cs="宋体"/>
          <w:sz w:val="24"/>
          <w:szCs w:val="24"/>
          <w:lang w:val="zh-TW" w:eastAsia="zh-TW"/>
        </w:rPr>
        <w:t>，由供应商提供</w:t>
      </w:r>
      <w:r>
        <w:rPr>
          <w:rFonts w:ascii="宋体" w:eastAsia="宋体" w:hAnsi="宋体" w:cs="宋体"/>
          <w:sz w:val="24"/>
          <w:szCs w:val="24"/>
          <w:lang w:val="zh-TW" w:eastAsia="zh-TW"/>
        </w:rPr>
        <w:t>免费保修服务（另有特别说明的，按其要求执行）</w:t>
      </w:r>
      <w:r>
        <w:rPr>
          <w:rFonts w:ascii="宋体" w:eastAsia="宋体" w:hAnsi="宋体" w:cs="宋体"/>
          <w:sz w:val="24"/>
          <w:szCs w:val="24"/>
          <w:lang w:val="zh-TW"/>
        </w:rPr>
        <w:t>，</w:t>
      </w:r>
      <w:r>
        <w:rPr>
          <w:rFonts w:ascii="宋体" w:eastAsia="宋体" w:hAnsi="宋体" w:cs="宋体"/>
          <w:sz w:val="24"/>
          <w:szCs w:val="24"/>
          <w:lang w:val="zh-TW" w:eastAsia="zh-TW"/>
        </w:rPr>
        <w:t>免费保修期届满后，如甲方需要乙方继续提供维护服务，由甲乙双方另行协商。</w:t>
      </w:r>
    </w:p>
    <w:p w:rsid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p>
    <w:p w:rsid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p>
    <w:p w:rsidR="00C0699E" w:rsidRPr="00C0699E" w:rsidRDefault="00C0699E" w:rsidP="00C0699E">
      <w:pPr>
        <w:pStyle w:val="10"/>
        <w:framePr w:wrap="auto" w:yAlign="inline"/>
        <w:spacing w:line="360" w:lineRule="auto"/>
        <w:ind w:firstLine="480"/>
        <w:rPr>
          <w:rFonts w:asciiTheme="minorEastAsia" w:eastAsia="PMingLiU" w:hAnsiTheme="minorEastAsia" w:cs="宋体" w:hint="default"/>
          <w:sz w:val="24"/>
          <w:szCs w:val="24"/>
          <w:lang w:val="zh-TW" w:eastAsia="zh-TW"/>
        </w:rPr>
      </w:pPr>
    </w:p>
    <w:p w:rsidR="002A113F" w:rsidRDefault="002A113F" w:rsidP="002A113F">
      <w:pPr>
        <w:pStyle w:val="10"/>
        <w:framePr w:wrap="auto" w:yAlign="inline"/>
        <w:spacing w:line="360" w:lineRule="auto"/>
        <w:ind w:firstLine="480"/>
        <w:rPr>
          <w:rFonts w:ascii="宋体" w:eastAsiaTheme="minorEastAsia" w:hAnsi="宋体" w:cs="宋体" w:hint="default"/>
          <w:b/>
          <w:bCs/>
          <w:sz w:val="24"/>
          <w:szCs w:val="24"/>
          <w:lang w:val="zh-TW"/>
        </w:rPr>
      </w:pPr>
    </w:p>
    <w:p w:rsidR="006C0A5A" w:rsidRPr="006C0A5A" w:rsidRDefault="006C0A5A" w:rsidP="002A113F">
      <w:pPr>
        <w:pStyle w:val="10"/>
        <w:framePr w:wrap="auto" w:yAlign="inline"/>
        <w:spacing w:line="360" w:lineRule="auto"/>
        <w:ind w:firstLine="480"/>
        <w:rPr>
          <w:rFonts w:ascii="宋体" w:eastAsiaTheme="minorEastAsia" w:hAnsi="宋体" w:cs="宋体" w:hint="default"/>
          <w:b/>
          <w:bCs/>
          <w:sz w:val="24"/>
          <w:szCs w:val="24"/>
          <w:lang w:val="zh-TW"/>
        </w:rPr>
        <w:sectPr w:rsidR="006C0A5A" w:rsidRPr="006C0A5A">
          <w:headerReference w:type="default" r:id="rId10"/>
          <w:footerReference w:type="default" r:id="rId11"/>
          <w:pgSz w:w="11900" w:h="16840"/>
          <w:pgMar w:top="1134" w:right="1440" w:bottom="1134" w:left="1318" w:header="851" w:footer="992" w:gutter="0"/>
          <w:cols w:space="720"/>
        </w:sectPr>
      </w:pPr>
    </w:p>
    <w:p w:rsidR="00E1660F" w:rsidRDefault="006C0A5A" w:rsidP="006C0A5A">
      <w:pPr>
        <w:pStyle w:val="10"/>
        <w:framePr w:wrap="auto" w:yAlign="inline"/>
        <w:spacing w:line="360" w:lineRule="auto"/>
        <w:ind w:firstLine="0"/>
        <w:rPr>
          <w:rFonts w:asciiTheme="minorEastAsia" w:eastAsiaTheme="minorEastAsia" w:hAnsiTheme="minorEastAsia" w:cs="宋体" w:hint="default"/>
          <w:b/>
          <w:sz w:val="24"/>
          <w:szCs w:val="24"/>
          <w:lang w:val="zh-TW"/>
        </w:rPr>
      </w:pPr>
      <w:r w:rsidRPr="008004F9">
        <w:rPr>
          <w:rFonts w:asciiTheme="minorEastAsia" w:eastAsiaTheme="minorEastAsia" w:hAnsiTheme="minorEastAsia" w:cs="宋体"/>
          <w:b/>
          <w:sz w:val="24"/>
          <w:szCs w:val="24"/>
          <w:lang w:val="zh-TW"/>
        </w:rPr>
        <w:lastRenderedPageBreak/>
        <w:t>附表：技术参数表</w:t>
      </w:r>
    </w:p>
    <w:p w:rsidR="008004F9" w:rsidRPr="008004F9" w:rsidRDefault="008004F9" w:rsidP="006C0A5A">
      <w:pPr>
        <w:pStyle w:val="10"/>
        <w:framePr w:wrap="auto" w:yAlign="inline"/>
        <w:spacing w:line="360" w:lineRule="auto"/>
        <w:ind w:firstLine="0"/>
        <w:rPr>
          <w:rFonts w:asciiTheme="minorEastAsia" w:eastAsiaTheme="minorEastAsia" w:hAnsiTheme="minorEastAsia" w:cs="宋体" w:hint="default"/>
          <w:b/>
          <w:sz w:val="24"/>
          <w:szCs w:val="24"/>
          <w:lang w:val="zh-TW"/>
        </w:rPr>
      </w:pPr>
      <w:r>
        <w:rPr>
          <w:rFonts w:asciiTheme="minorEastAsia" w:eastAsiaTheme="minorEastAsia" w:hAnsiTheme="minorEastAsia" w:cs="宋体"/>
          <w:b/>
          <w:sz w:val="24"/>
          <w:szCs w:val="24"/>
          <w:lang w:val="zh-TW"/>
        </w:rPr>
        <w:t>1、</w:t>
      </w:r>
      <w:r w:rsidRPr="008004F9">
        <w:rPr>
          <w:rFonts w:asciiTheme="minorEastAsia" w:eastAsiaTheme="minorEastAsia" w:hAnsiTheme="minorEastAsia" w:cs="宋体" w:hint="cs"/>
          <w:b/>
          <w:sz w:val="24"/>
          <w:szCs w:val="24"/>
          <w:lang w:val="zh-TW"/>
        </w:rPr>
        <w:t>安全态势感知平台</w:t>
      </w:r>
      <w:r>
        <w:rPr>
          <w:rFonts w:asciiTheme="minorEastAsia" w:eastAsiaTheme="minorEastAsia" w:hAnsiTheme="minorEastAsia" w:cs="宋体"/>
          <w:b/>
          <w:sz w:val="24"/>
          <w:szCs w:val="24"/>
          <w:lang w:val="zh-TW"/>
        </w:rPr>
        <w:t>技术参数</w:t>
      </w:r>
    </w:p>
    <w:tbl>
      <w:tblPr>
        <w:tblStyle w:val="a9"/>
        <w:tblW w:w="0" w:type="auto"/>
        <w:jc w:val="center"/>
        <w:tblLayout w:type="fixed"/>
        <w:tblLook w:val="04A0" w:firstRow="1" w:lastRow="0" w:firstColumn="1" w:lastColumn="0" w:noHBand="0" w:noVBand="1"/>
      </w:tblPr>
      <w:tblGrid>
        <w:gridCol w:w="704"/>
        <w:gridCol w:w="425"/>
        <w:gridCol w:w="1276"/>
        <w:gridCol w:w="12157"/>
      </w:tblGrid>
      <w:tr w:rsidR="006C0A5A" w:rsidRPr="007F1EA1" w:rsidTr="00A019DA">
        <w:trPr>
          <w:trHeight w:val="471"/>
          <w:tblHeader/>
          <w:jc w:val="center"/>
        </w:trPr>
        <w:tc>
          <w:tcPr>
            <w:tcW w:w="704" w:type="dxa"/>
            <w:vAlign w:val="center"/>
          </w:tcPr>
          <w:p w:rsidR="006C0A5A" w:rsidRPr="007F1EA1" w:rsidRDefault="006C0A5A" w:rsidP="009E3D28">
            <w:pPr>
              <w:framePr w:wrap="auto" w:yAlign="inline"/>
              <w:widowControl/>
              <w:jc w:val="center"/>
              <w:rPr>
                <w:rFonts w:asciiTheme="minorEastAsia" w:eastAsiaTheme="minorEastAsia" w:hAnsiTheme="minorEastAsia" w:hint="default"/>
                <w:b/>
              </w:rPr>
            </w:pPr>
            <w:r w:rsidRPr="007F1EA1">
              <w:rPr>
                <w:rFonts w:asciiTheme="minorEastAsia" w:eastAsiaTheme="minorEastAsia" w:hAnsiTheme="minorEastAsia"/>
                <w:b/>
              </w:rPr>
              <w:t>序号</w:t>
            </w:r>
          </w:p>
        </w:tc>
        <w:tc>
          <w:tcPr>
            <w:tcW w:w="1701" w:type="dxa"/>
            <w:gridSpan w:val="2"/>
            <w:vAlign w:val="center"/>
          </w:tcPr>
          <w:p w:rsidR="006C0A5A" w:rsidRPr="007F1EA1" w:rsidRDefault="006C0A5A" w:rsidP="009E3D28">
            <w:pPr>
              <w:framePr w:wrap="auto" w:yAlign="inline"/>
              <w:widowControl/>
              <w:jc w:val="center"/>
              <w:rPr>
                <w:rFonts w:asciiTheme="minorEastAsia" w:eastAsiaTheme="minorEastAsia" w:hAnsiTheme="minorEastAsia" w:hint="default"/>
                <w:b/>
              </w:rPr>
            </w:pPr>
            <w:r w:rsidRPr="007F1EA1">
              <w:rPr>
                <w:rFonts w:asciiTheme="minorEastAsia" w:eastAsiaTheme="minorEastAsia" w:hAnsiTheme="minorEastAsia"/>
                <w:b/>
              </w:rPr>
              <w:t>功能及技术指标</w:t>
            </w:r>
          </w:p>
        </w:tc>
        <w:tc>
          <w:tcPr>
            <w:tcW w:w="12157" w:type="dxa"/>
            <w:vAlign w:val="center"/>
          </w:tcPr>
          <w:p w:rsidR="006C0A5A" w:rsidRPr="007F1EA1" w:rsidRDefault="006C0A5A" w:rsidP="009E3D28">
            <w:pPr>
              <w:framePr w:wrap="auto" w:yAlign="inline"/>
              <w:widowControl/>
              <w:jc w:val="center"/>
              <w:rPr>
                <w:rFonts w:asciiTheme="minorEastAsia" w:eastAsiaTheme="minorEastAsia" w:hAnsiTheme="minorEastAsia" w:hint="default"/>
                <w:b/>
              </w:rPr>
            </w:pPr>
            <w:r w:rsidRPr="007F1EA1">
              <w:rPr>
                <w:rFonts w:asciiTheme="minorEastAsia" w:eastAsiaTheme="minorEastAsia" w:hAnsiTheme="minorEastAsia"/>
                <w:b/>
              </w:rPr>
              <w:t>详细参数</w:t>
            </w:r>
          </w:p>
        </w:tc>
      </w:tr>
      <w:tr w:rsidR="006C0A5A" w:rsidRPr="007F1EA1" w:rsidTr="00A019DA">
        <w:trPr>
          <w:jc w:val="center"/>
        </w:trPr>
        <w:tc>
          <w:tcPr>
            <w:tcW w:w="704"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1</w:t>
            </w:r>
          </w:p>
        </w:tc>
        <w:tc>
          <w:tcPr>
            <w:tcW w:w="1701" w:type="dxa"/>
            <w:gridSpan w:val="2"/>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硬件要求</w:t>
            </w:r>
          </w:p>
        </w:tc>
        <w:tc>
          <w:tcPr>
            <w:tcW w:w="12157" w:type="dxa"/>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国产品牌 标准2U机架式设备，双冗余电源，CPU数量≥2，内存≥192GB,具备独立的系统盘和数据盘，系统盘要求为固态硬盘，容量≥128GB，数据盘≥48TB，支持RAID5，接口≥4个千兆电口+4个万兆光口，数据吞吐量≥8Gbps。支持多节点设备组成HA集群，实现存储空间、处理性能弹性扩充；保证业务运行的连续性、可靠性</w:t>
            </w:r>
          </w:p>
        </w:tc>
      </w:tr>
      <w:tr w:rsidR="006C0A5A" w:rsidRPr="007F1EA1" w:rsidTr="00A019DA">
        <w:trPr>
          <w:jc w:val="center"/>
        </w:trPr>
        <w:tc>
          <w:tcPr>
            <w:tcW w:w="704"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2</w:t>
            </w:r>
          </w:p>
        </w:tc>
        <w:tc>
          <w:tcPr>
            <w:tcW w:w="1701" w:type="dxa"/>
            <w:gridSpan w:val="2"/>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数据采集</w:t>
            </w:r>
          </w:p>
        </w:tc>
        <w:tc>
          <w:tcPr>
            <w:tcW w:w="12157" w:type="dxa"/>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支持从威胁探针、终端、安全设备（如防火墙、IDPS、WAF等）和第三方网络设备（通过标准syslog协议输出）处收集流量和日志数据。</w:t>
            </w:r>
          </w:p>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支持syslog、winlogbeat、wmi、jdbc、webservice、ftp、snmptrap格式的数据</w:t>
            </w:r>
          </w:p>
        </w:tc>
      </w:tr>
      <w:tr w:rsidR="006C0A5A" w:rsidRPr="007F1EA1" w:rsidTr="00A019DA">
        <w:trPr>
          <w:jc w:val="center"/>
        </w:trPr>
        <w:tc>
          <w:tcPr>
            <w:tcW w:w="704"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3</w:t>
            </w:r>
          </w:p>
        </w:tc>
        <w:tc>
          <w:tcPr>
            <w:tcW w:w="1701" w:type="dxa"/>
            <w:gridSpan w:val="2"/>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全网安全态势大屏</w:t>
            </w:r>
          </w:p>
        </w:tc>
        <w:tc>
          <w:tcPr>
            <w:tcW w:w="12157" w:type="dxa"/>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支持不同安全视角展示16个独立的大屏展示功能 ，包括全网安全态势感知大屏、重点时期防护、安全事件态势、通报预警态势、资产态势大屏等。</w:t>
            </w:r>
          </w:p>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支持对安全事件、外部攻击者等维度进行自定义设置实现实时告警展示，支持大屏轮播，可在一个屏幕上自动切换轮播不同的大屏，所有大屏可自定义播放顺序。</w:t>
            </w:r>
          </w:p>
        </w:tc>
      </w:tr>
      <w:tr w:rsidR="006C0A5A" w:rsidRPr="007F1EA1" w:rsidTr="00A019DA">
        <w:trPr>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4</w:t>
            </w:r>
          </w:p>
        </w:tc>
        <w:tc>
          <w:tcPr>
            <w:tcW w:w="425"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资产</w:t>
            </w:r>
          </w:p>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管理</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资产发现</w:t>
            </w:r>
          </w:p>
        </w:tc>
        <w:tc>
          <w:tcPr>
            <w:tcW w:w="12157" w:type="dxa"/>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支持通过主动发送微量包的扫描方式探测潜在的服务器（影子资产）以及学习服务器的基础信息，资产指纹信息包括资产类型、端口、操作系统、mac地址、主机名等。</w:t>
            </w:r>
          </w:p>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支持跨三层取mac地址，识别资产mac地址，并能够解决不同资产IP冲突问题，以及DHCP场景IP变更的问题。</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资产全生命周期管理</w:t>
            </w:r>
          </w:p>
        </w:tc>
        <w:tc>
          <w:tcPr>
            <w:tcW w:w="12157" w:type="dxa"/>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支持资产多级分支管理，最多可至15级分支，支持资产全生命周期自动管理，包括资产自动发现、多级资产、资产入库审核、资产离线风险识别、资产退库、资产数据更新，责任人管理机制等。</w:t>
            </w:r>
          </w:p>
        </w:tc>
      </w:tr>
      <w:tr w:rsidR="006C0A5A" w:rsidRPr="007F1EA1" w:rsidTr="00A019DA">
        <w:trPr>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5</w:t>
            </w:r>
          </w:p>
        </w:tc>
        <w:tc>
          <w:tcPr>
            <w:tcW w:w="425"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脆弱性管理</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弱密码检测</w:t>
            </w:r>
          </w:p>
        </w:tc>
        <w:tc>
          <w:tcPr>
            <w:tcW w:w="12157" w:type="dxa"/>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弱密码识别支持主动扫描，支持加密协议的弱口令登录检测，支持SMB、MySQL、Oracle、RDP、SSH、Redis、MongoDB、ElasticSearch、MSSQL等协议。</w:t>
            </w:r>
          </w:p>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弱密码检测规则支持高度自定义，包括规则名称、生效域名、长度规则、字符规则、字典序、web空密码、账号白名单、密码白名单、txt文件格式导入。</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威胁分析</w:t>
            </w:r>
          </w:p>
        </w:tc>
        <w:tc>
          <w:tcPr>
            <w:tcW w:w="12157" w:type="dxa"/>
            <w:tcBorders>
              <w:bottom w:val="single" w:sz="4" w:space="0" w:color="auto"/>
            </w:tcBorders>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支持流量实时识别漏洞分析，漏洞分析类型包含配置错误漏洞、OpenSSH漏洞、OpenLDAP等操作系统、数据库、Web应用等 ，页面上支持展示业务脆弱性风险分布、漏洞类型分析、漏洞态势与危害和处置建议，并支持导出脆弱性感知报告。</w:t>
            </w:r>
          </w:p>
        </w:tc>
      </w:tr>
      <w:tr w:rsidR="006C0A5A" w:rsidRPr="007F1EA1" w:rsidTr="00A019DA">
        <w:trPr>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6</w:t>
            </w:r>
          </w:p>
        </w:tc>
        <w:tc>
          <w:tcPr>
            <w:tcW w:w="425"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威</w:t>
            </w:r>
          </w:p>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胁</w:t>
            </w:r>
          </w:p>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检</w:t>
            </w:r>
          </w:p>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测</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Webshell检测</w:t>
            </w:r>
          </w:p>
        </w:tc>
        <w:tc>
          <w:tcPr>
            <w:tcW w:w="12157" w:type="dxa"/>
            <w:shd w:val="clear" w:color="auto" w:fill="auto"/>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具备基于AI的webshell通信流量检测，可检出加密（如冰蝎）的通信流量。，具备650+webshell规则检测，且覆盖webshell整个攻击阶段检测，包括webshell上传点探测、webshell上传下载、webshell通信。</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事后异常行为检测</w:t>
            </w:r>
          </w:p>
        </w:tc>
        <w:tc>
          <w:tcPr>
            <w:tcW w:w="12157" w:type="dxa"/>
            <w:shd w:val="clear" w:color="auto" w:fill="auto"/>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具备元数据行为分析引擎：httpflow、dnsflow、adflow、icmpflow、maillflow等, 通过异常行为分析，结合各类机器学习算法完成未知威胁检测。包括：内网穿透、代理、远控、隧道、反弹shell等事后检测场景。</w:t>
            </w:r>
          </w:p>
        </w:tc>
      </w:tr>
      <w:tr w:rsidR="006C0A5A" w:rsidRPr="007F1EA1" w:rsidTr="00A019DA">
        <w:trPr>
          <w:trHeight w:val="1323"/>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挖矿专项检测</w:t>
            </w:r>
          </w:p>
        </w:tc>
        <w:tc>
          <w:tcPr>
            <w:tcW w:w="12157" w:type="dxa"/>
          </w:tcPr>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支持挖矿专项检测页面，具备挖矿攻击事前、事中和事后全链路的检测分析能力。</w:t>
            </w:r>
          </w:p>
          <w:p w:rsidR="006C0A5A" w:rsidRPr="007F1EA1" w:rsidRDefault="006C0A5A" w:rsidP="009E3D28">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平台内置挖矿安全知识库，对常见挖矿行为和病毒木马等提供详细的背景介绍、感染现象、详细分析、相关IOC（MD5、C2、URL）、解决方案。</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文件威胁分析</w:t>
            </w:r>
          </w:p>
        </w:tc>
        <w:tc>
          <w:tcPr>
            <w:tcW w:w="12157" w:type="dxa"/>
            <w:tcBorders>
              <w:bottom w:val="single" w:sz="4" w:space="0" w:color="auto"/>
            </w:tcBorders>
            <w:shd w:val="clear" w:color="auto" w:fill="FFFFFF" w:themeFill="background1"/>
          </w:tcPr>
          <w:p w:rsidR="006C0A5A" w:rsidRPr="007F1EA1" w:rsidRDefault="006C0A5A" w:rsidP="009E3D28">
            <w:pPr>
              <w:framePr w:wrap="auto" w:yAlign="inline"/>
              <w:jc w:val="left"/>
              <w:rPr>
                <w:rFonts w:asciiTheme="minorEastAsia" w:eastAsiaTheme="minorEastAsia" w:hAnsiTheme="minorEastAsia" w:hint="default"/>
              </w:rPr>
            </w:pPr>
            <w:r w:rsidRPr="007F1EA1">
              <w:rPr>
                <w:rFonts w:asciiTheme="minorEastAsia" w:eastAsiaTheme="minorEastAsia" w:hAnsiTheme="minorEastAsia"/>
              </w:rPr>
              <w:t>文件威胁分析支持平台内置的静态文件检测引擎、AI智能引擎、SAVE查杀引擎、webshellkiller引擎，利用LSA, AutoEncoder, LogicRegression, SVM, 随机森林，XGBoost等多种机器学习算法组合进行综合研判。支持采用AI技术针对无文件落地的恶意脚本进行检测。</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邮件威胁分析</w:t>
            </w:r>
          </w:p>
        </w:tc>
        <w:tc>
          <w:tcPr>
            <w:tcW w:w="12157" w:type="dxa"/>
            <w:tcBorders>
              <w:bottom w:val="single" w:sz="4" w:space="0" w:color="auto"/>
            </w:tcBorders>
            <w:shd w:val="clear" w:color="auto" w:fill="FFFFFF" w:themeFill="background1"/>
          </w:tcPr>
          <w:p w:rsidR="006C0A5A" w:rsidRPr="007F1EA1" w:rsidRDefault="006C0A5A" w:rsidP="009E3D28">
            <w:pPr>
              <w:framePr w:wrap="auto" w:yAlign="inline"/>
              <w:jc w:val="left"/>
              <w:rPr>
                <w:rFonts w:asciiTheme="minorEastAsia" w:eastAsiaTheme="minorEastAsia" w:hAnsiTheme="minorEastAsia" w:hint="default"/>
              </w:rPr>
            </w:pPr>
            <w:r w:rsidRPr="007F1EA1">
              <w:rPr>
                <w:rFonts w:asciiTheme="minorEastAsia" w:eastAsiaTheme="minorEastAsia" w:hAnsiTheme="minorEastAsia"/>
              </w:rPr>
              <w:t>支持针对政企邮件混淆宏病毒威胁检测，可通过不断下钻的特征向量提取和聚类算法有效检出邮件威胁。支持对smtp、imap、pop3、webmail等邮件协议审计，提取邮件正文和附件中的流量，并对邮件附件、正文链接、邮件行为、发件人等多维度进行规则和机器学习检测，从而识别出钓鱼邮件、病毒邮件、垃圾邮件、鱼叉式钓鱼等恶意邮件。</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第三方日志关联分析可视</w:t>
            </w:r>
          </w:p>
        </w:tc>
        <w:tc>
          <w:tcPr>
            <w:tcW w:w="12157" w:type="dxa"/>
          </w:tcPr>
          <w:p w:rsidR="006C0A5A" w:rsidRPr="007F1EA1" w:rsidRDefault="006C0A5A" w:rsidP="009E3D28">
            <w:pPr>
              <w:framePr w:wrap="auto" w:yAlign="inline"/>
              <w:jc w:val="left"/>
              <w:rPr>
                <w:rFonts w:asciiTheme="minorEastAsia" w:eastAsiaTheme="minorEastAsia" w:hAnsiTheme="minorEastAsia" w:hint="default"/>
              </w:rPr>
            </w:pPr>
            <w:r w:rsidRPr="007F1EA1">
              <w:rPr>
                <w:rFonts w:asciiTheme="minorEastAsia" w:eastAsiaTheme="minorEastAsia" w:hAnsiTheme="minorEastAsia"/>
              </w:rPr>
              <w:t>支持SIEM日志关联分析结果的可视化展示。包括数据分布、安全事件趋势图、关联规则告警趋势图、接入设备概况等，可提供每一台设备专项分析的页面。如防火墙外部攻击场景分析、VPN账号异常场景分析、Windows服务器主机异常场景分析等，通过设备专项页面对每一台设备安全情况深度专业化分析。</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日志检索</w:t>
            </w:r>
          </w:p>
        </w:tc>
        <w:tc>
          <w:tcPr>
            <w:tcW w:w="12157" w:type="dxa"/>
          </w:tcPr>
          <w:p w:rsidR="006C0A5A" w:rsidRPr="007F1EA1" w:rsidRDefault="006C0A5A" w:rsidP="009E3D28">
            <w:pPr>
              <w:framePr w:wrap="auto" w:yAlign="inline"/>
              <w:widowControl/>
              <w:jc w:val="left"/>
              <w:rPr>
                <w:rFonts w:asciiTheme="minorEastAsia" w:eastAsiaTheme="minorEastAsia" w:hAnsiTheme="minorEastAsia" w:hint="default"/>
              </w:rPr>
            </w:pPr>
            <w:r w:rsidRPr="007F1EA1">
              <w:rPr>
                <w:rFonts w:asciiTheme="minorEastAsia" w:eastAsiaTheme="minorEastAsia" w:hAnsiTheme="minorEastAsia"/>
              </w:rPr>
              <w:t>支持安全检测日志、审计日志、第三方日志存储；日志类型包括漏洞利用攻击、网站攻击、僵尸网络、业务弱点、DOS攻击、邮件安全、文件安全、网络流量、DNS、HTTP、用户、数据库、文件审计、POP3、SMTP、IMAP、LDAP、FTP、Telnet等。</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主机行为EBA分析</w:t>
            </w:r>
          </w:p>
        </w:tc>
        <w:tc>
          <w:tcPr>
            <w:tcW w:w="12157" w:type="dxa"/>
          </w:tcPr>
          <w:p w:rsidR="006C0A5A" w:rsidRPr="007F1EA1" w:rsidRDefault="006C0A5A" w:rsidP="009E3D28">
            <w:pPr>
              <w:framePr w:wrap="auto" w:yAlign="inline"/>
              <w:jc w:val="left"/>
              <w:rPr>
                <w:rFonts w:asciiTheme="minorEastAsia" w:eastAsiaTheme="minorEastAsia" w:hAnsiTheme="minorEastAsia" w:hint="default"/>
              </w:rPr>
            </w:pPr>
            <w:r w:rsidRPr="007F1EA1">
              <w:rPr>
                <w:rFonts w:asciiTheme="minorEastAsia" w:eastAsiaTheme="minorEastAsia" w:hAnsiTheme="minorEastAsia"/>
              </w:rPr>
              <w:t>支持利用EBA技术进行资产的行为分析，对这些对象进行持续的学习和行为画像构建，以基线画像的形式检测异于基线的异常行为作为入口点，结合以降维、聚类、决策树为主的计算处理模型发现异常用户/资产行为。内建异常行为学习模型，并支持用户对EBA基线进行自定义调整，优化模型。</w:t>
            </w:r>
          </w:p>
        </w:tc>
      </w:tr>
      <w:tr w:rsidR="006C0A5A" w:rsidRPr="007F1EA1" w:rsidTr="00A019DA">
        <w:trPr>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7</w:t>
            </w:r>
          </w:p>
        </w:tc>
        <w:tc>
          <w:tcPr>
            <w:tcW w:w="425"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事件</w:t>
            </w:r>
          </w:p>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处置</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告警消减</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支持多维度模糊聚类算法将大量外部攻击日志聚合成少量攻击事件，聚合维度包括攻击IP、攻击地址、攻击目标和目标手法。</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联动处置</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安全事件支持与深信服防火墙、终端安全响应系统、超融合联动封锁、访问控制，安全事件支持与终端安全响应系统联动一键查杀、进程取证，支持关闭深信服超融合上的中毒虚拟主机，支持对深信服超融合上中毒的虚拟主机进行快照。</w:t>
            </w:r>
          </w:p>
        </w:tc>
      </w:tr>
      <w:tr w:rsidR="006C0A5A" w:rsidRPr="007F1EA1" w:rsidTr="00A019DA">
        <w:trPr>
          <w:jc w:val="center"/>
        </w:trPr>
        <w:tc>
          <w:tcPr>
            <w:tcW w:w="704"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8</w:t>
            </w:r>
          </w:p>
        </w:tc>
        <w:tc>
          <w:tcPr>
            <w:tcW w:w="1701" w:type="dxa"/>
            <w:gridSpan w:val="2"/>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外网态势感知</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提供不少于5个域名的网站的云端漏洞主动扫描和持续监测服务。</w:t>
            </w:r>
          </w:p>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支持和SIP联动，定期对互联网业务系统进行漏洞扫描，将主动漏洞扫描和被动流量检测结合，实时发现内外网存在的安全风险，并通过邮件、微信公众号等方式进行主动告警通知；</w:t>
            </w:r>
          </w:p>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支持7*24h的监测，及时发现网页篡改、敏感内容、挂马、黑链、断网等安全事件；</w:t>
            </w:r>
          </w:p>
        </w:tc>
      </w:tr>
      <w:tr w:rsidR="006C0A5A" w:rsidRPr="007F1EA1" w:rsidTr="00A019DA">
        <w:trPr>
          <w:trHeight w:val="918"/>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lastRenderedPageBreak/>
              <w:t>9</w:t>
            </w:r>
          </w:p>
        </w:tc>
        <w:tc>
          <w:tcPr>
            <w:tcW w:w="425"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攻防</w:t>
            </w:r>
          </w:p>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处置</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实战攻防中心</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具备实战化攻防中心，支持备战阶段的对外服务器外网暴露面分析、内网服务器暴露面梳理暴。实战阶段的实时攻击分析，实时展受害者IP、攻击者IP、XFF、攻击结果、攻击次数、事件类型、威胁等级、联动响应、状态码、确定性等级等20个以上类型。实战阶段的全过程可视溯源分析、总结阶段的值守报告等全过程流程。</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D1CA1" w:rsidRPr="007F1EA1" w:rsidRDefault="006D1CA1" w:rsidP="009E3D28">
            <w:pPr>
              <w:framePr w:wrap="auto" w:yAlign="inline"/>
              <w:widowControl/>
              <w:jc w:val="center"/>
              <w:rPr>
                <w:rFonts w:asciiTheme="minorEastAsia" w:eastAsiaTheme="minorEastAsia" w:hAnsiTheme="minorEastAsia" w:hint="default"/>
              </w:rPr>
            </w:pPr>
          </w:p>
          <w:p w:rsidR="006D1CA1"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威胁情报</w:t>
            </w:r>
          </w:p>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共享</w:t>
            </w:r>
          </w:p>
          <w:p w:rsidR="006D1CA1" w:rsidRPr="007F1EA1" w:rsidRDefault="006D1CA1" w:rsidP="009E3D28">
            <w:pPr>
              <w:framePr w:wrap="auto" w:yAlign="inline"/>
              <w:widowControl/>
              <w:jc w:val="center"/>
              <w:rPr>
                <w:rFonts w:asciiTheme="minorEastAsia" w:eastAsiaTheme="minorEastAsia" w:hAnsiTheme="minorEastAsia" w:hint="default"/>
              </w:rPr>
            </w:pPr>
          </w:p>
        </w:tc>
        <w:tc>
          <w:tcPr>
            <w:tcW w:w="12157" w:type="dxa"/>
          </w:tcPr>
          <w:p w:rsidR="006D1CA1" w:rsidRPr="007F1EA1" w:rsidRDefault="006D1CA1" w:rsidP="009E3D28">
            <w:pPr>
              <w:framePr w:wrap="auto" w:yAlign="inline"/>
              <w:rPr>
                <w:rFonts w:asciiTheme="minorEastAsia" w:eastAsiaTheme="minorEastAsia" w:hAnsiTheme="minorEastAsia" w:hint="default"/>
              </w:rPr>
            </w:pPr>
          </w:p>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云端与本地威胁情报共享，实时收集同步攻击者IP，并详细展示情报列表，包括IOC、区域、来源、更新时间、剩余封锁时间、状态、操作等，并可对本地威胁情报及云端威胁情报联动同品牌防火墙实现自动封锁。</w:t>
            </w:r>
          </w:p>
        </w:tc>
      </w:tr>
      <w:tr w:rsidR="006C0A5A" w:rsidRPr="007F1EA1" w:rsidTr="00A019DA">
        <w:trPr>
          <w:trHeight w:val="1244"/>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溯源中心</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自动化溯源，可自动化复现受害者从最开始的遭受攻击到权限维持各个阶段的黑客行为，包括攻击入口溯源。支持基于可视化的形式展示威胁的影响面，通过大数据分析和关联检索技术，能够直观的看到失陷主机的威胁影响面，同时基于列表模式展示攻击、违规访问、风险访问、可疑行为、正常访问等详细信息。</w:t>
            </w:r>
          </w:p>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支持攻击溯源功能，分析出首次失陷、疑似入口点、首次遭受攻击等信息。</w:t>
            </w:r>
          </w:p>
        </w:tc>
      </w:tr>
      <w:tr w:rsidR="006C0A5A" w:rsidRPr="007F1EA1" w:rsidTr="00A019DA">
        <w:trPr>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10</w:t>
            </w:r>
          </w:p>
        </w:tc>
        <w:tc>
          <w:tcPr>
            <w:tcW w:w="425"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报表中心</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全网安全态势报告</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可快速生成月度、季度、年度PPT报表，包含网络安全整体解读、网络安全风险详情、告警及事件响应盘点等，帮助用户高效汇报，体现安全工作价值。</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告警推送</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告警方式支持邮件告警、短信、微信告警方式。</w:t>
            </w:r>
          </w:p>
        </w:tc>
      </w:tr>
      <w:tr w:rsidR="006C0A5A" w:rsidRPr="007F1EA1" w:rsidTr="00A019DA">
        <w:trPr>
          <w:trHeight w:val="1384"/>
          <w:jc w:val="center"/>
        </w:trPr>
        <w:tc>
          <w:tcPr>
            <w:tcW w:w="704"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11</w:t>
            </w:r>
          </w:p>
        </w:tc>
        <w:tc>
          <w:tcPr>
            <w:tcW w:w="425"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应用中心</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合规自检工具</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支持同品牌防火墙、终端安全响应系统、上网行为管理等设备的配置核查并上报结果，提供自动化监测和配置引导。</w:t>
            </w:r>
          </w:p>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支持已合规基线管控业务安全，实时监测等保差距项和高风险项，避免策略变更导致不合规，有效应对网监不定期抽查和复测场景。</w:t>
            </w:r>
          </w:p>
        </w:tc>
      </w:tr>
      <w:tr w:rsidR="006C0A5A" w:rsidRPr="007F1EA1" w:rsidTr="00A019DA">
        <w:trPr>
          <w:trHeight w:val="779"/>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12</w:t>
            </w:r>
          </w:p>
        </w:tc>
        <w:tc>
          <w:tcPr>
            <w:tcW w:w="425"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设备管理</w:t>
            </w: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基础特征库升级</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具备IPS漏洞特征识别库、WEB应用防护识别库、僵尸网络识别库、实时漏洞分析识别库、URL库、应用识别库、恶意链接库、白名单库；支持定期自动升级或离线手动升级。</w:t>
            </w:r>
          </w:p>
        </w:tc>
      </w:tr>
      <w:tr w:rsidR="006C0A5A" w:rsidRPr="007F1EA1" w:rsidTr="00A019DA">
        <w:trPr>
          <w:trHeight w:val="896"/>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平台快捷控件</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支持快捷菜单悬浮控件，平台全部功能可根据使用习惯自定义添加到快捷控件，方便使用，提高运维工作效率。</w:t>
            </w:r>
          </w:p>
        </w:tc>
      </w:tr>
      <w:tr w:rsidR="006C0A5A" w:rsidRPr="007F1EA1" w:rsidTr="00A019DA">
        <w:trPr>
          <w:trHeight w:val="863"/>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接入设备管理</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支持流量探针统一升级管理，支持监控流量探针与安全组件的运行状态，包含日志传输模式、日志传输量、最近同步信息等。</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425"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76"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管理员角色</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支持管理员账号的新增、删除、启用、禁用等，支持免登陆及单点登录设置，支持可信IP设置。支持角色的管理范围及页面权限的收敛设置。支持系统管理员、安全保密管理员和安全审计员三个管理员角色。</w:t>
            </w:r>
          </w:p>
        </w:tc>
      </w:tr>
      <w:tr w:rsidR="006C0A5A" w:rsidRPr="007F1EA1" w:rsidTr="00A019DA">
        <w:trPr>
          <w:jc w:val="center"/>
        </w:trPr>
        <w:tc>
          <w:tcPr>
            <w:tcW w:w="704" w:type="dxa"/>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13</w:t>
            </w:r>
          </w:p>
        </w:tc>
        <w:tc>
          <w:tcPr>
            <w:tcW w:w="1701" w:type="dxa"/>
            <w:gridSpan w:val="2"/>
            <w:vMerge w:val="restart"/>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产品资质</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为保证厂家具备在用户核心业务在紧急情况下的应急响应能力，厂商为网络安全应急服务支撑单位证书（国家级）</w:t>
            </w:r>
          </w:p>
        </w:tc>
      </w:tr>
      <w:tr w:rsidR="006C0A5A" w:rsidRPr="007F1EA1" w:rsidTr="00A019DA">
        <w:trPr>
          <w:jc w:val="center"/>
        </w:trPr>
        <w:tc>
          <w:tcPr>
            <w:tcW w:w="704" w:type="dxa"/>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701" w:type="dxa"/>
            <w:gridSpan w:val="2"/>
            <w:vMerge/>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要求具备公安颁发的安全管理平台销售许可证</w:t>
            </w:r>
          </w:p>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要求具备ISCCC  IT产品信息安全认证证书</w:t>
            </w:r>
          </w:p>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要求具备国家版权局颁发的软件著作权登记证书</w:t>
            </w:r>
          </w:p>
        </w:tc>
      </w:tr>
      <w:tr w:rsidR="006C0A5A" w:rsidRPr="007F1EA1" w:rsidTr="00A019DA">
        <w:trPr>
          <w:jc w:val="center"/>
        </w:trPr>
        <w:tc>
          <w:tcPr>
            <w:tcW w:w="704" w:type="dxa"/>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14</w:t>
            </w:r>
          </w:p>
        </w:tc>
        <w:tc>
          <w:tcPr>
            <w:tcW w:w="1701" w:type="dxa"/>
            <w:gridSpan w:val="2"/>
            <w:vAlign w:val="center"/>
          </w:tcPr>
          <w:p w:rsidR="006C0A5A" w:rsidRPr="007F1EA1" w:rsidRDefault="006C0A5A" w:rsidP="009E3D28">
            <w:pPr>
              <w:framePr w:wrap="auto" w:yAlign="inline"/>
              <w:widowControl/>
              <w:jc w:val="center"/>
              <w:rPr>
                <w:rFonts w:asciiTheme="minorEastAsia" w:eastAsiaTheme="minorEastAsia" w:hAnsiTheme="minorEastAsia" w:hint="default"/>
              </w:rPr>
            </w:pPr>
            <w:r w:rsidRPr="007F1EA1">
              <w:rPr>
                <w:rFonts w:asciiTheme="minorEastAsia" w:eastAsiaTheme="minorEastAsia" w:hAnsiTheme="minorEastAsia"/>
              </w:rPr>
              <w:t>售后服务</w:t>
            </w:r>
          </w:p>
        </w:tc>
        <w:tc>
          <w:tcPr>
            <w:tcW w:w="12157" w:type="dxa"/>
          </w:tcPr>
          <w:p w:rsidR="006C0A5A" w:rsidRPr="007F1EA1" w:rsidRDefault="006C0A5A" w:rsidP="009E3D28">
            <w:pPr>
              <w:framePr w:wrap="auto" w:yAlign="inline"/>
              <w:rPr>
                <w:rFonts w:asciiTheme="minorEastAsia" w:eastAsiaTheme="minorEastAsia" w:hAnsiTheme="minorEastAsia" w:hint="default"/>
              </w:rPr>
            </w:pPr>
            <w:r w:rsidRPr="007F1EA1">
              <w:rPr>
                <w:rFonts w:asciiTheme="minorEastAsia" w:eastAsiaTheme="minorEastAsia" w:hAnsiTheme="minorEastAsia"/>
              </w:rPr>
              <w:t>必须在省内有厂家直属的服务办事机构，提供7*24小时快速上门服务和2小时内快速响应服务</w:t>
            </w:r>
          </w:p>
        </w:tc>
      </w:tr>
    </w:tbl>
    <w:p w:rsidR="006C0A5A" w:rsidRPr="002A113F" w:rsidRDefault="006C0A5A" w:rsidP="006C0A5A">
      <w:pPr>
        <w:pStyle w:val="10"/>
        <w:framePr w:wrap="auto" w:yAlign="inline"/>
        <w:spacing w:line="360" w:lineRule="auto"/>
        <w:ind w:firstLine="0"/>
        <w:rPr>
          <w:rFonts w:ascii="宋体" w:eastAsia="PMingLiU" w:hAnsi="宋体" w:cs="宋体" w:hint="default"/>
          <w:sz w:val="24"/>
          <w:szCs w:val="24"/>
          <w:lang w:val="zh-TW" w:eastAsia="zh-TW"/>
        </w:rPr>
      </w:pPr>
    </w:p>
    <w:p w:rsidR="008004F9" w:rsidRDefault="002A113F" w:rsidP="008004F9">
      <w:pPr>
        <w:pStyle w:val="10"/>
        <w:framePr w:wrap="auto" w:yAlign="inline"/>
        <w:spacing w:line="360" w:lineRule="auto"/>
        <w:ind w:firstLine="0"/>
        <w:rPr>
          <w:rFonts w:asciiTheme="minorEastAsia" w:eastAsiaTheme="minorEastAsia" w:hAnsiTheme="minorEastAsia" w:cs="宋体" w:hint="default"/>
          <w:b/>
          <w:sz w:val="24"/>
          <w:szCs w:val="24"/>
          <w:lang w:val="zh-TW"/>
        </w:rPr>
      </w:pPr>
      <w:r>
        <w:rPr>
          <w:rFonts w:ascii="宋体" w:eastAsia="宋体" w:hAnsi="宋体" w:cs="宋体"/>
          <w:sz w:val="24"/>
          <w:szCs w:val="24"/>
        </w:rPr>
        <w:t xml:space="preserve"> </w:t>
      </w:r>
      <w:r w:rsidR="008004F9">
        <w:rPr>
          <w:rFonts w:asciiTheme="minorEastAsia" w:eastAsia="PMingLiU" w:hAnsiTheme="minorEastAsia" w:cs="宋体" w:hint="default"/>
          <w:b/>
          <w:sz w:val="24"/>
          <w:szCs w:val="24"/>
          <w:lang w:val="zh-TW" w:eastAsia="zh-TW"/>
        </w:rPr>
        <w:t>2</w:t>
      </w:r>
      <w:r w:rsidR="008004F9">
        <w:rPr>
          <w:rFonts w:asciiTheme="minorEastAsia" w:eastAsiaTheme="minorEastAsia" w:hAnsiTheme="minorEastAsia" w:cs="宋体"/>
          <w:b/>
          <w:sz w:val="24"/>
          <w:szCs w:val="24"/>
          <w:lang w:val="zh-TW"/>
        </w:rPr>
        <w:t>、探针设备技术参数</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701"/>
        <w:gridCol w:w="11907"/>
      </w:tblGrid>
      <w:tr w:rsidR="006D1CA1" w:rsidRPr="007F1EA1" w:rsidTr="00A019DA">
        <w:trPr>
          <w:trHeight w:val="516"/>
          <w:tblHeader/>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b/>
              </w:rPr>
              <w:t>序号</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b/>
              </w:rPr>
              <w:t>功能及技术指标</w:t>
            </w:r>
          </w:p>
        </w:tc>
        <w:tc>
          <w:tcPr>
            <w:tcW w:w="11907"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b/>
              </w:rPr>
              <w:t>详细参数</w:t>
            </w:r>
          </w:p>
        </w:tc>
      </w:tr>
      <w:tr w:rsidR="006D1CA1" w:rsidRPr="007F1EA1" w:rsidTr="00A019DA">
        <w:trPr>
          <w:trHeight w:val="33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硬件要求</w:t>
            </w:r>
          </w:p>
        </w:tc>
        <w:tc>
          <w:tcPr>
            <w:tcW w:w="11907" w:type="dxa"/>
          </w:tcPr>
          <w:p w:rsidR="006D1CA1" w:rsidRPr="007F1EA1" w:rsidRDefault="006D1CA1" w:rsidP="006D1CA1">
            <w:pPr>
              <w:framePr w:wrap="auto" w:yAlign="inline"/>
              <w:rPr>
                <w:rFonts w:asciiTheme="minorEastAsia" w:eastAsiaTheme="minorEastAsia" w:hAnsiTheme="minorEastAsia" w:cs="宋体" w:hint="default"/>
                <w:kern w:val="0"/>
              </w:rPr>
            </w:pPr>
            <w:r w:rsidRPr="007F1EA1">
              <w:rPr>
                <w:rFonts w:asciiTheme="minorEastAsia" w:eastAsiaTheme="minorEastAsia" w:hAnsiTheme="minorEastAsia" w:cs="宋体"/>
                <w:kern w:val="0"/>
              </w:rPr>
              <w:t>和SIP同品牌，标准2U机架式设备，接口数量≥6个千兆电口、2个万兆光口；硬盘容量≥1T；数据处理性能≥2Gbps，冗余电源</w:t>
            </w:r>
          </w:p>
        </w:tc>
      </w:tr>
      <w:tr w:rsidR="006D1CA1" w:rsidRPr="007F1EA1" w:rsidTr="00A019DA">
        <w:trPr>
          <w:trHeight w:val="148"/>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2</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部署模式</w:t>
            </w:r>
          </w:p>
        </w:tc>
        <w:tc>
          <w:tcPr>
            <w:tcW w:w="11907" w:type="dxa"/>
          </w:tcPr>
          <w:p w:rsidR="006D1CA1" w:rsidRPr="007F1EA1" w:rsidRDefault="006D1CA1" w:rsidP="006D1CA1">
            <w:pPr>
              <w:framePr w:wrap="auto" w:yAlign="inline"/>
              <w:rPr>
                <w:rFonts w:asciiTheme="minorEastAsia" w:eastAsiaTheme="minorEastAsia" w:hAnsiTheme="minorEastAsia" w:cs="宋体" w:hint="default"/>
                <w:kern w:val="0"/>
              </w:rPr>
            </w:pPr>
            <w:r w:rsidRPr="007F1EA1">
              <w:rPr>
                <w:rFonts w:asciiTheme="minorEastAsia" w:eastAsiaTheme="minorEastAsia" w:hAnsiTheme="minorEastAsia" w:cs="宋体"/>
                <w:kern w:val="0"/>
              </w:rPr>
              <w:t>旁路部署，支持探针接入多个镜像口，每个接口相互独立且不影响</w:t>
            </w:r>
          </w:p>
        </w:tc>
      </w:tr>
      <w:tr w:rsidR="006D1CA1" w:rsidRPr="007F1EA1" w:rsidTr="00A019DA">
        <w:trPr>
          <w:trHeight w:val="148"/>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3</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资产发现</w:t>
            </w:r>
          </w:p>
        </w:tc>
        <w:tc>
          <w:tcPr>
            <w:tcW w:w="11907" w:type="dxa"/>
          </w:tcPr>
          <w:p w:rsidR="006D1CA1" w:rsidRPr="007F1EA1" w:rsidRDefault="006D1CA1" w:rsidP="006D1CA1">
            <w:pPr>
              <w:framePr w:wrap="auto" w:yAlign="inline"/>
              <w:rPr>
                <w:rFonts w:asciiTheme="minorEastAsia" w:eastAsiaTheme="minorEastAsia" w:hAnsiTheme="minorEastAsia" w:cs="宋体" w:hint="default"/>
                <w:kern w:val="0"/>
              </w:rPr>
            </w:pPr>
            <w:r w:rsidRPr="007F1EA1">
              <w:rPr>
                <w:rFonts w:asciiTheme="minorEastAsia" w:eastAsiaTheme="minorEastAsia" w:hAnsiTheme="minorEastAsia" w:cs="宋体"/>
                <w:kern w:val="0"/>
              </w:rPr>
              <w:t>具备主动发送少量探测报文，发现潜在的服务器（影子资产）以及学习服务器的基础信息，如：操作系统、开放的端口号等。</w:t>
            </w:r>
          </w:p>
        </w:tc>
      </w:tr>
      <w:tr w:rsidR="006D1CA1" w:rsidRPr="007F1EA1" w:rsidTr="00A019DA">
        <w:trPr>
          <w:trHeight w:val="517"/>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4</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基础检测功能</w:t>
            </w: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具备报文检测引擎,可实现IP碎片重组、TCP流重组、应用层协议识别与解析等</w:t>
            </w:r>
            <w:r w:rsidRPr="007F1EA1">
              <w:rPr>
                <w:rFonts w:asciiTheme="minorEastAsia" w:eastAsiaTheme="minorEastAsia" w:hAnsiTheme="minorEastAsia" w:cs="MS Gothic"/>
                <w:kern w:val="0"/>
              </w:rPr>
              <w:t>；</w:t>
            </w:r>
            <w:r w:rsidRPr="007F1EA1">
              <w:rPr>
                <w:rFonts w:asciiTheme="minorEastAsia" w:eastAsiaTheme="minorEastAsia" w:hAnsiTheme="minorEastAsia" w:cs="宋体"/>
                <w:kern w:val="0"/>
              </w:rPr>
              <w:t>具备多种的入侵攻击模式或恶意UR监测模式，可完成模式匹配并生成事件，可提取URL记录和域名记录。</w:t>
            </w:r>
          </w:p>
        </w:tc>
      </w:tr>
      <w:tr w:rsidR="006D1CA1" w:rsidRPr="007F1EA1" w:rsidTr="00A019DA">
        <w:trPr>
          <w:trHeight w:val="517"/>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5</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网站攻击检测</w:t>
            </w: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支持SQL注入、XSS攻击、网页木马、网站扫描、WEBSHELL、跨站请求伪造、系统命令注入、文件包含攻击、目录遍历攻击、信息泄露攻击、Web整站系统漏洞等网站攻击检测</w:t>
            </w:r>
            <w:r w:rsidRPr="007F1EA1">
              <w:rPr>
                <w:rFonts w:asciiTheme="minorEastAsia" w:eastAsiaTheme="minorEastAsia" w:hAnsiTheme="minorEastAsia"/>
              </w:rPr>
              <w:t>。</w:t>
            </w:r>
          </w:p>
        </w:tc>
      </w:tr>
      <w:tr w:rsidR="006D1CA1" w:rsidRPr="007F1EA1" w:rsidTr="00A019DA">
        <w:trPr>
          <w:trHeight w:val="517"/>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6</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敏感信息检测</w:t>
            </w: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支持敏感数据泄密功能检测能力，可自定义敏感信息，支持根据文件类型和敏感关键字进行信息过滤。</w:t>
            </w:r>
          </w:p>
        </w:tc>
      </w:tr>
      <w:tr w:rsidR="006D1CA1" w:rsidRPr="007F1EA1" w:rsidTr="00A019DA">
        <w:trPr>
          <w:trHeight w:val="305"/>
          <w:jc w:val="center"/>
        </w:trPr>
        <w:tc>
          <w:tcPr>
            <w:tcW w:w="856" w:type="dxa"/>
            <w:vMerge w:val="restart"/>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7</w:t>
            </w:r>
          </w:p>
        </w:tc>
        <w:tc>
          <w:tcPr>
            <w:tcW w:w="1701" w:type="dxa"/>
            <w:vMerge w:val="restart"/>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漏洞利用攻击检测</w:t>
            </w: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支持Database漏洞攻击、DNS漏洞攻击、FTP漏洞攻击、Mail漏洞攻击、Network Device、Scan漏洞攻击、System漏洞攻击、Telnet漏洞攻击、Tftp漏洞攻击、Web漏洞攻击等服务漏洞攻击检测。</w:t>
            </w:r>
          </w:p>
        </w:tc>
      </w:tr>
      <w:tr w:rsidR="006D1CA1" w:rsidRPr="007F1EA1" w:rsidTr="00A019DA">
        <w:trPr>
          <w:trHeight w:val="109"/>
          <w:jc w:val="center"/>
        </w:trPr>
        <w:tc>
          <w:tcPr>
            <w:tcW w:w="856"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支持Application漏洞攻击、File漏洞攻击、Scan漏洞攻击、Shellcode漏洞攻击、System漏洞利用攻击、Web Activex等客户端漏洞攻击检测。</w:t>
            </w:r>
          </w:p>
        </w:tc>
      </w:tr>
      <w:tr w:rsidR="006D1CA1" w:rsidRPr="007F1EA1" w:rsidTr="00A019DA">
        <w:trPr>
          <w:trHeight w:val="196"/>
          <w:jc w:val="center"/>
        </w:trPr>
        <w:tc>
          <w:tcPr>
            <w:tcW w:w="856"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支持FTP、IMAP、MS Sql、Mysql、Oracle、POP3、RDP、SMTP、SSH、Telnet、等协议暴力破解检测。</w:t>
            </w:r>
          </w:p>
        </w:tc>
      </w:tr>
      <w:tr w:rsidR="006D1CA1" w:rsidRPr="007F1EA1" w:rsidTr="00A019DA">
        <w:trPr>
          <w:trHeight w:val="196"/>
          <w:jc w:val="center"/>
        </w:trPr>
        <w:tc>
          <w:tcPr>
            <w:tcW w:w="856" w:type="dxa"/>
            <w:vMerge w:val="restart"/>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8</w:t>
            </w:r>
          </w:p>
        </w:tc>
        <w:tc>
          <w:tcPr>
            <w:tcW w:w="1701" w:type="dxa"/>
            <w:vMerge w:val="restart"/>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异常流量检测</w:t>
            </w: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支持标准端口运行非标准协议，非标准端口运行标准协议的异常流量检测，端口类型包括3389、53、80/8080、21、69、443、25、110、143、22等（需提。</w:t>
            </w:r>
          </w:p>
        </w:tc>
      </w:tr>
      <w:tr w:rsidR="006D1CA1" w:rsidRPr="007F1EA1" w:rsidTr="00A019DA">
        <w:trPr>
          <w:trHeight w:val="196"/>
          <w:jc w:val="center"/>
        </w:trPr>
        <w:tc>
          <w:tcPr>
            <w:tcW w:w="856"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7F1EA1" w:rsidRDefault="006D1CA1" w:rsidP="006D1CA1">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支持ICMP、UDP、SYN、DNS等协议外发异常流量检测，支持自定义阀值。</w:t>
            </w:r>
          </w:p>
        </w:tc>
      </w:tr>
      <w:tr w:rsidR="006D1CA1" w:rsidRPr="007F1EA1" w:rsidTr="00A019DA">
        <w:trPr>
          <w:trHeight w:val="196"/>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9</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僵尸网络行为检测</w:t>
            </w:r>
          </w:p>
        </w:tc>
        <w:tc>
          <w:tcPr>
            <w:tcW w:w="11907" w:type="dxa"/>
          </w:tcPr>
          <w:p w:rsidR="006D1CA1" w:rsidRPr="007F1EA1" w:rsidRDefault="006D1CA1" w:rsidP="006D1CA1">
            <w:pPr>
              <w:framePr w:wrap="auto" w:yAlign="inline"/>
              <w:widowControl/>
              <w:rPr>
                <w:rFonts w:asciiTheme="minorEastAsia" w:eastAsiaTheme="minorEastAsia" w:hAnsiTheme="minorEastAsia" w:hint="default"/>
              </w:rPr>
            </w:pPr>
            <w:r w:rsidRPr="007F1EA1">
              <w:rPr>
                <w:rFonts w:asciiTheme="minorEastAsia" w:eastAsiaTheme="minorEastAsia" w:hAnsiTheme="minorEastAsia"/>
              </w:rPr>
              <w:t>支持HTTP未知站点下载可执行文件、浏览最近30天注册域名、浏览恶意动态域名、访问随机算法生成域名、暴力破解攻击、反弹连接、IRC通信等僵尸网络行为检测。</w:t>
            </w:r>
          </w:p>
        </w:tc>
      </w:tr>
      <w:tr w:rsidR="006D1CA1" w:rsidRPr="007F1EA1" w:rsidTr="00A019DA">
        <w:trPr>
          <w:trHeight w:val="517"/>
          <w:jc w:val="center"/>
        </w:trPr>
        <w:tc>
          <w:tcPr>
            <w:tcW w:w="856" w:type="dxa"/>
            <w:vMerge w:val="restart"/>
            <w:vAlign w:val="center"/>
          </w:tcPr>
          <w:p w:rsidR="006D1CA1" w:rsidRPr="007F1EA1" w:rsidRDefault="006D1CA1" w:rsidP="006D1CA1">
            <w:pPr>
              <w:framePr w:wrap="auto" w:yAlign="inline"/>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10</w:t>
            </w:r>
          </w:p>
        </w:tc>
        <w:tc>
          <w:tcPr>
            <w:tcW w:w="1701" w:type="dxa"/>
            <w:vMerge w:val="restart"/>
            <w:vAlign w:val="center"/>
          </w:tcPr>
          <w:p w:rsidR="006D1CA1" w:rsidRPr="007F1EA1" w:rsidRDefault="006D1CA1" w:rsidP="006D1CA1">
            <w:pPr>
              <w:framePr w:wrap="auto" w:yAlign="inline"/>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高级检测</w:t>
            </w:r>
          </w:p>
        </w:tc>
        <w:tc>
          <w:tcPr>
            <w:tcW w:w="11907" w:type="dxa"/>
          </w:tcPr>
          <w:p w:rsidR="006D1CA1" w:rsidRPr="007F1EA1" w:rsidRDefault="006D1CA1" w:rsidP="006D1CA1">
            <w:pPr>
              <w:pStyle w:val="ad"/>
              <w:shd w:val="clear" w:color="auto" w:fill="FFFFFF"/>
              <w:spacing w:before="0" w:beforeAutospacing="0" w:after="0" w:afterAutospacing="0" w:line="298" w:lineRule="atLeast"/>
              <w:rPr>
                <w:rFonts w:asciiTheme="minorEastAsia" w:eastAsiaTheme="minorEastAsia" w:hAnsiTheme="minorEastAsia"/>
                <w:color w:val="000000"/>
                <w:sz w:val="21"/>
                <w:szCs w:val="21"/>
              </w:rPr>
            </w:pPr>
            <w:r w:rsidRPr="007F1EA1">
              <w:rPr>
                <w:rFonts w:asciiTheme="minorEastAsia" w:eastAsiaTheme="minorEastAsia" w:hAnsiTheme="minorEastAsia" w:hint="eastAsia"/>
                <w:color w:val="000000"/>
                <w:sz w:val="21"/>
                <w:szCs w:val="21"/>
              </w:rPr>
              <w:t>支持5种类型日志传输模式,包含标准模式、精简模式、高级模式、局域网模式、自定义模式，适应不同应用场景需求。</w:t>
            </w:r>
          </w:p>
        </w:tc>
      </w:tr>
      <w:tr w:rsidR="006D1CA1" w:rsidRPr="007F1EA1" w:rsidTr="00A019DA">
        <w:trPr>
          <w:trHeight w:val="517"/>
          <w:jc w:val="center"/>
        </w:trPr>
        <w:tc>
          <w:tcPr>
            <w:tcW w:w="856" w:type="dxa"/>
            <w:vMerge/>
            <w:vAlign w:val="center"/>
          </w:tcPr>
          <w:p w:rsidR="006D1CA1" w:rsidRPr="007F1EA1" w:rsidRDefault="006D1CA1" w:rsidP="006D1CA1">
            <w:pPr>
              <w:framePr w:wrap="auto" w:yAlign="inline"/>
              <w:jc w:val="center"/>
              <w:rPr>
                <w:rFonts w:asciiTheme="minorEastAsia" w:eastAsiaTheme="minorEastAsia" w:hAnsiTheme="minorEastAsia" w:cs="宋体" w:hint="default"/>
                <w:kern w:val="0"/>
              </w:rPr>
            </w:pPr>
          </w:p>
        </w:tc>
        <w:tc>
          <w:tcPr>
            <w:tcW w:w="1701" w:type="dxa"/>
            <w:vMerge/>
            <w:vAlign w:val="center"/>
          </w:tcPr>
          <w:p w:rsidR="006D1CA1" w:rsidRPr="007F1EA1" w:rsidRDefault="006D1CA1" w:rsidP="006D1CA1">
            <w:pPr>
              <w:framePr w:wrap="auto" w:yAlign="inline"/>
              <w:jc w:val="center"/>
              <w:rPr>
                <w:rFonts w:asciiTheme="minorEastAsia" w:eastAsiaTheme="minorEastAsia" w:hAnsiTheme="minorEastAsia" w:cs="宋体" w:hint="default"/>
                <w:kern w:val="0"/>
              </w:rPr>
            </w:pPr>
          </w:p>
        </w:tc>
        <w:tc>
          <w:tcPr>
            <w:tcW w:w="11907" w:type="dxa"/>
          </w:tcPr>
          <w:p w:rsidR="006D1CA1" w:rsidRPr="007F1EA1" w:rsidRDefault="006D1CA1" w:rsidP="006D1CA1">
            <w:pPr>
              <w:pStyle w:val="ad"/>
              <w:shd w:val="clear" w:color="auto" w:fill="FFFFFF"/>
              <w:spacing w:before="0" w:beforeAutospacing="0" w:after="0" w:afterAutospacing="0" w:line="298" w:lineRule="atLeast"/>
              <w:rPr>
                <w:rFonts w:asciiTheme="minorEastAsia" w:eastAsiaTheme="minorEastAsia" w:hAnsiTheme="minorEastAsia"/>
                <w:color w:val="000000"/>
                <w:sz w:val="21"/>
                <w:szCs w:val="21"/>
              </w:rPr>
            </w:pPr>
            <w:r w:rsidRPr="007F1EA1">
              <w:rPr>
                <w:rFonts w:asciiTheme="minorEastAsia" w:eastAsiaTheme="minorEastAsia" w:hAnsiTheme="minorEastAsia" w:hint="eastAsia"/>
                <w:color w:val="000000"/>
                <w:sz w:val="21"/>
                <w:szCs w:val="21"/>
              </w:rPr>
              <w:t>支持传输安全检测日志，包括网络攻击检测日志、漏洞利用攻击检测日志、僵尸网络检测日志、业务弱点发现日志。</w:t>
            </w:r>
          </w:p>
        </w:tc>
      </w:tr>
      <w:tr w:rsidR="006D1CA1" w:rsidRPr="007F1EA1" w:rsidTr="00A019DA">
        <w:trPr>
          <w:trHeight w:val="517"/>
          <w:jc w:val="center"/>
        </w:trPr>
        <w:tc>
          <w:tcPr>
            <w:tcW w:w="856" w:type="dxa"/>
            <w:vMerge/>
            <w:vAlign w:val="center"/>
          </w:tcPr>
          <w:p w:rsidR="006D1CA1" w:rsidRPr="007F1EA1" w:rsidRDefault="006D1CA1" w:rsidP="006D1CA1">
            <w:pPr>
              <w:framePr w:wrap="auto" w:yAlign="inline"/>
              <w:jc w:val="center"/>
              <w:rPr>
                <w:rFonts w:asciiTheme="minorEastAsia" w:eastAsiaTheme="minorEastAsia" w:hAnsiTheme="minorEastAsia" w:cs="宋体" w:hint="default"/>
                <w:kern w:val="0"/>
              </w:rPr>
            </w:pPr>
          </w:p>
        </w:tc>
        <w:tc>
          <w:tcPr>
            <w:tcW w:w="1701" w:type="dxa"/>
            <w:vMerge/>
            <w:vAlign w:val="center"/>
          </w:tcPr>
          <w:p w:rsidR="006D1CA1" w:rsidRPr="007F1EA1" w:rsidRDefault="006D1CA1" w:rsidP="006D1CA1">
            <w:pPr>
              <w:framePr w:wrap="auto" w:yAlign="inline"/>
              <w:jc w:val="center"/>
              <w:rPr>
                <w:rFonts w:asciiTheme="minorEastAsia" w:eastAsiaTheme="minorEastAsia" w:hAnsiTheme="minorEastAsia" w:cs="宋体" w:hint="default"/>
                <w:kern w:val="0"/>
              </w:rPr>
            </w:pPr>
          </w:p>
        </w:tc>
        <w:tc>
          <w:tcPr>
            <w:tcW w:w="11907" w:type="dxa"/>
          </w:tcPr>
          <w:p w:rsidR="006D1CA1" w:rsidRPr="007F1EA1" w:rsidRDefault="006D1CA1" w:rsidP="006D1CA1">
            <w:pPr>
              <w:pStyle w:val="ad"/>
              <w:shd w:val="clear" w:color="auto" w:fill="FFFFFF"/>
              <w:spacing w:before="0" w:beforeAutospacing="0" w:after="0" w:afterAutospacing="0" w:line="298" w:lineRule="atLeast"/>
              <w:rPr>
                <w:rFonts w:asciiTheme="minorEastAsia" w:eastAsiaTheme="minorEastAsia" w:hAnsiTheme="minorEastAsia"/>
                <w:color w:val="000000"/>
                <w:sz w:val="21"/>
                <w:szCs w:val="21"/>
              </w:rPr>
            </w:pPr>
            <w:r w:rsidRPr="007F1EA1">
              <w:rPr>
                <w:rFonts w:asciiTheme="minorEastAsia" w:eastAsiaTheme="minorEastAsia" w:hAnsiTheme="minorEastAsia" w:hint="eastAsia"/>
                <w:color w:val="000000"/>
                <w:sz w:val="21"/>
                <w:szCs w:val="21"/>
              </w:rPr>
              <w:t>支持传输访问检测日志，包括正常访问、风险访问、违规访问。</w:t>
            </w:r>
          </w:p>
        </w:tc>
      </w:tr>
      <w:tr w:rsidR="006D1CA1" w:rsidRPr="007F1EA1" w:rsidTr="00A019DA">
        <w:trPr>
          <w:trHeight w:val="926"/>
          <w:jc w:val="center"/>
        </w:trPr>
        <w:tc>
          <w:tcPr>
            <w:tcW w:w="856"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701" w:type="dxa"/>
            <w:vMerge/>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p>
        </w:tc>
        <w:tc>
          <w:tcPr>
            <w:tcW w:w="11907" w:type="dxa"/>
          </w:tcPr>
          <w:p w:rsidR="006D1CA1" w:rsidRPr="007F1EA1" w:rsidRDefault="006D1CA1" w:rsidP="006D1CA1">
            <w:pPr>
              <w:pStyle w:val="-12"/>
              <w:widowControl/>
              <w:ind w:firstLineChars="0" w:firstLine="0"/>
              <w:rPr>
                <w:rFonts w:asciiTheme="minorEastAsia" w:eastAsiaTheme="minorEastAsia" w:hAnsiTheme="minorEastAsia" w:cs="宋体"/>
                <w:color w:val="000000"/>
                <w:kern w:val="0"/>
                <w:szCs w:val="21"/>
              </w:rPr>
            </w:pPr>
            <w:r w:rsidRPr="007F1EA1">
              <w:rPr>
                <w:rFonts w:asciiTheme="minorEastAsia" w:eastAsiaTheme="minorEastAsia" w:hAnsiTheme="minorEastAsia" w:cs="宋体" w:hint="eastAsia"/>
                <w:color w:val="000000"/>
                <w:kern w:val="0"/>
                <w:szCs w:val="21"/>
              </w:rPr>
              <w:t>支持传输协议审计日志，包括https协议日志、http协议审计日志、DNS协议审计日志、邮件协议审计日志、SMB协议审计日志、AD域协议审计日志、WEB登录审计日志、FTP协议审计日志、Telnet协议审计日志、ICMP协议审计日志、LLMNR协议审计日志。</w:t>
            </w:r>
          </w:p>
        </w:tc>
      </w:tr>
      <w:tr w:rsidR="006D1CA1" w:rsidRPr="007F1EA1" w:rsidTr="00A019DA">
        <w:trPr>
          <w:trHeight w:val="898"/>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11</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违规访问检测</w:t>
            </w:r>
          </w:p>
        </w:tc>
        <w:tc>
          <w:tcPr>
            <w:tcW w:w="11907" w:type="dxa"/>
          </w:tcPr>
          <w:p w:rsidR="006D1CA1" w:rsidRPr="007F1EA1" w:rsidRDefault="006D1CA1" w:rsidP="006D1CA1">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支持IP，IP组，服务，端口，访问时间等定义访问策略，主动建立针对性的业务和应用访问逻辑规则，包括白名单和黑名单方式。</w:t>
            </w:r>
          </w:p>
        </w:tc>
      </w:tr>
      <w:tr w:rsidR="006D1CA1" w:rsidRPr="007F1EA1" w:rsidTr="00A019DA">
        <w:trPr>
          <w:trHeight w:val="19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12</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沙盒对接</w:t>
            </w:r>
          </w:p>
        </w:tc>
        <w:tc>
          <w:tcPr>
            <w:tcW w:w="11907" w:type="dxa"/>
            <w:vAlign w:val="center"/>
          </w:tcPr>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支持将流量还原的文件发送至沙盒分析；可支持第三方沙盒对接。</w:t>
            </w:r>
          </w:p>
        </w:tc>
      </w:tr>
      <w:tr w:rsidR="006D1CA1" w:rsidRPr="007F1EA1" w:rsidTr="00A019DA">
        <w:trPr>
          <w:trHeight w:val="19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13</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特征库</w:t>
            </w:r>
          </w:p>
        </w:tc>
        <w:tc>
          <w:tcPr>
            <w:tcW w:w="11907" w:type="dxa"/>
            <w:vAlign w:val="center"/>
          </w:tcPr>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内置URL库、IPS漏洞特征识别库、应用识别库、WEB应用防护识别库、僵尸网络识别库、实时漏洞分析识别库、恶意链接库、白名单库。</w:t>
            </w:r>
          </w:p>
        </w:tc>
      </w:tr>
      <w:tr w:rsidR="006D1CA1" w:rsidRPr="007F1EA1" w:rsidTr="00A019DA">
        <w:trPr>
          <w:trHeight w:val="19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14</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抓包分析</w:t>
            </w:r>
          </w:p>
        </w:tc>
        <w:tc>
          <w:tcPr>
            <w:tcW w:w="11907" w:type="dxa"/>
            <w:vAlign w:val="center"/>
          </w:tcPr>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支持流量抓包分析，可定义抓包数量、接口、IP地址、端口或自定义过滤表达式。</w:t>
            </w:r>
          </w:p>
        </w:tc>
      </w:tr>
      <w:tr w:rsidR="006D1CA1" w:rsidRPr="007F1EA1" w:rsidTr="00A019DA">
        <w:trPr>
          <w:trHeight w:val="19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15</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管理功能</w:t>
            </w:r>
          </w:p>
        </w:tc>
        <w:tc>
          <w:tcPr>
            <w:tcW w:w="11907" w:type="dxa"/>
            <w:vAlign w:val="center"/>
          </w:tcPr>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支持设备内置简单命令行管理窗口，便于基础运维调试（需提供截图证明）；</w:t>
            </w:r>
          </w:p>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可实时监控设备的CPU、内存、存储空间使用情况；</w:t>
            </w:r>
          </w:p>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能够监控监听接口的实时流量情况。</w:t>
            </w:r>
          </w:p>
        </w:tc>
      </w:tr>
      <w:tr w:rsidR="006D1CA1" w:rsidRPr="007F1EA1" w:rsidTr="00A019DA">
        <w:trPr>
          <w:trHeight w:val="19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16</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产品资质</w:t>
            </w:r>
          </w:p>
        </w:tc>
        <w:tc>
          <w:tcPr>
            <w:tcW w:w="11907" w:type="dxa"/>
            <w:vAlign w:val="center"/>
          </w:tcPr>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要求具备公安颁发的网络入侵检测系统销售许可证</w:t>
            </w:r>
          </w:p>
        </w:tc>
      </w:tr>
      <w:tr w:rsidR="006D1CA1" w:rsidRPr="007F1EA1" w:rsidTr="00A019DA">
        <w:trPr>
          <w:trHeight w:val="19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17</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厂商资质</w:t>
            </w:r>
          </w:p>
        </w:tc>
        <w:tc>
          <w:tcPr>
            <w:tcW w:w="11907" w:type="dxa"/>
          </w:tcPr>
          <w:p w:rsidR="006D1CA1" w:rsidRPr="007F1EA1" w:rsidRDefault="006D1CA1" w:rsidP="006D1CA1">
            <w:pPr>
              <w:framePr w:wrap="auto" w:yAlign="inline"/>
              <w:rPr>
                <w:rFonts w:asciiTheme="minorEastAsia" w:eastAsiaTheme="minorEastAsia" w:hAnsiTheme="minorEastAsia" w:hint="default"/>
              </w:rPr>
            </w:pPr>
            <w:r w:rsidRPr="007F1EA1">
              <w:rPr>
                <w:rFonts w:asciiTheme="minorEastAsia" w:eastAsiaTheme="minorEastAsia" w:hAnsiTheme="minorEastAsia"/>
              </w:rPr>
              <w:t>厂商具备软件开发成熟度CMMI 5级认证，提供证书复印件并加盖厂商公章；</w:t>
            </w:r>
          </w:p>
          <w:p w:rsidR="006D1CA1" w:rsidRPr="007F1EA1" w:rsidRDefault="006D1CA1" w:rsidP="006D1CA1">
            <w:pPr>
              <w:framePr w:wrap="auto" w:yAlign="inline"/>
              <w:rPr>
                <w:rFonts w:asciiTheme="minorEastAsia" w:eastAsiaTheme="minorEastAsia" w:hAnsiTheme="minorEastAsia" w:hint="default"/>
              </w:rPr>
            </w:pPr>
            <w:r w:rsidRPr="007F1EA1">
              <w:rPr>
                <w:rFonts w:asciiTheme="minorEastAsia" w:eastAsiaTheme="minorEastAsia" w:hAnsiTheme="minorEastAsia"/>
              </w:rPr>
              <w:t>厂商应是国家互联网应急响应中心网络安全应急服务国家级支撑单位；</w:t>
            </w:r>
          </w:p>
          <w:p w:rsidR="006D1CA1" w:rsidRPr="007F1EA1" w:rsidRDefault="006D1CA1" w:rsidP="006D1CA1">
            <w:pPr>
              <w:framePr w:wrap="auto" w:yAlign="inline"/>
              <w:rPr>
                <w:rFonts w:asciiTheme="minorEastAsia" w:eastAsiaTheme="minorEastAsia" w:hAnsiTheme="minorEastAsia" w:hint="default"/>
              </w:rPr>
            </w:pPr>
            <w:r w:rsidRPr="007F1EA1">
              <w:rPr>
                <w:rFonts w:asciiTheme="minorEastAsia" w:eastAsiaTheme="minorEastAsia" w:hAnsiTheme="minorEastAsia"/>
              </w:rPr>
              <w:t>厂商需是中国反网络病毒联盟ANVA成员单位；</w:t>
            </w:r>
          </w:p>
          <w:p w:rsidR="006D1CA1" w:rsidRPr="007F1EA1" w:rsidRDefault="006D1CA1" w:rsidP="006D1CA1">
            <w:pPr>
              <w:framePr w:wrap="auto" w:yAlign="inline"/>
              <w:rPr>
                <w:rFonts w:asciiTheme="minorEastAsia" w:eastAsiaTheme="minorEastAsia" w:hAnsiTheme="minorEastAsia" w:hint="default"/>
              </w:rPr>
            </w:pPr>
            <w:r w:rsidRPr="007F1EA1">
              <w:rPr>
                <w:rFonts w:asciiTheme="minorEastAsia" w:eastAsiaTheme="minorEastAsia" w:hAnsiTheme="minorEastAsia"/>
              </w:rPr>
              <w:lastRenderedPageBreak/>
              <w:t>厂商是微软安全响应中心的MAPP计划成员；</w:t>
            </w:r>
          </w:p>
          <w:p w:rsidR="006D1CA1" w:rsidRPr="007F1EA1" w:rsidRDefault="006D1CA1" w:rsidP="006D1CA1">
            <w:pPr>
              <w:framePr w:wrap="auto" w:yAlign="inline"/>
              <w:rPr>
                <w:rFonts w:asciiTheme="minorEastAsia" w:eastAsiaTheme="minorEastAsia" w:hAnsiTheme="minorEastAsia" w:hint="default"/>
              </w:rPr>
            </w:pPr>
            <w:r w:rsidRPr="007F1EA1">
              <w:rPr>
                <w:rFonts w:asciiTheme="minorEastAsia" w:eastAsiaTheme="minorEastAsia" w:hAnsiTheme="minorEastAsia"/>
              </w:rPr>
              <w:t>厂商为国家信息安全漏洞共享平台CNVD用户组成员，提供CNVD官网截图证明并加盖厂商公章；</w:t>
            </w:r>
          </w:p>
          <w:p w:rsidR="006D1CA1" w:rsidRPr="007F1EA1" w:rsidRDefault="006D1CA1" w:rsidP="006D1CA1">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rPr>
              <w:t>厂商具备云安全成熟度成熟度模型CSA-CMMI 5认证，提供证书复印件并加盖厂商公章；</w:t>
            </w:r>
          </w:p>
        </w:tc>
      </w:tr>
      <w:tr w:rsidR="006D1CA1" w:rsidRPr="007F1EA1" w:rsidTr="00A019DA">
        <w:trPr>
          <w:trHeight w:val="199"/>
          <w:jc w:val="center"/>
        </w:trPr>
        <w:tc>
          <w:tcPr>
            <w:tcW w:w="856"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lastRenderedPageBreak/>
              <w:t>18</w:t>
            </w:r>
          </w:p>
        </w:tc>
        <w:tc>
          <w:tcPr>
            <w:tcW w:w="1701" w:type="dxa"/>
            <w:vAlign w:val="center"/>
          </w:tcPr>
          <w:p w:rsidR="006D1CA1" w:rsidRPr="007F1EA1" w:rsidRDefault="006D1CA1" w:rsidP="006D1CA1">
            <w:pPr>
              <w:framePr w:wrap="auto" w:yAlign="inline"/>
              <w:widowControl/>
              <w:jc w:val="center"/>
              <w:rPr>
                <w:rFonts w:asciiTheme="minorEastAsia" w:eastAsiaTheme="minorEastAsia" w:hAnsiTheme="minorEastAsia" w:cs="宋体" w:hint="default"/>
                <w:kern w:val="0"/>
                <w:sz w:val="18"/>
                <w:szCs w:val="18"/>
              </w:rPr>
            </w:pPr>
            <w:r w:rsidRPr="007F1EA1">
              <w:rPr>
                <w:rFonts w:asciiTheme="minorEastAsia" w:eastAsiaTheme="minorEastAsia" w:hAnsiTheme="minorEastAsia"/>
              </w:rPr>
              <w:t>售后服务</w:t>
            </w:r>
          </w:p>
        </w:tc>
        <w:tc>
          <w:tcPr>
            <w:tcW w:w="11907" w:type="dxa"/>
          </w:tcPr>
          <w:p w:rsidR="006D1CA1" w:rsidRPr="007F1EA1" w:rsidRDefault="006D1CA1" w:rsidP="006D1CA1">
            <w:pPr>
              <w:framePr w:wrap="auto" w:yAlign="inline"/>
              <w:rPr>
                <w:rFonts w:asciiTheme="minorEastAsia" w:eastAsiaTheme="minorEastAsia" w:hAnsiTheme="minorEastAsia" w:hint="default"/>
                <w:sz w:val="18"/>
                <w:szCs w:val="18"/>
              </w:rPr>
            </w:pPr>
            <w:r w:rsidRPr="007F1EA1">
              <w:rPr>
                <w:rFonts w:asciiTheme="minorEastAsia" w:eastAsiaTheme="minorEastAsia" w:hAnsiTheme="minorEastAsia"/>
              </w:rPr>
              <w:t>必须在省内有厂家直属的服务办事机构，提供7*24小时快速上门服务和2小时内快速响应服务</w:t>
            </w:r>
          </w:p>
        </w:tc>
      </w:tr>
    </w:tbl>
    <w:p w:rsidR="002A7F82" w:rsidRDefault="002A7F82" w:rsidP="008004F9">
      <w:pPr>
        <w:pStyle w:val="10"/>
        <w:framePr w:wrap="auto" w:yAlign="inline"/>
        <w:spacing w:line="360" w:lineRule="auto"/>
        <w:ind w:firstLine="0"/>
        <w:rPr>
          <w:rFonts w:ascii="宋体" w:eastAsia="PMingLiU" w:hAnsi="宋体" w:cs="宋体" w:hint="default"/>
          <w:sz w:val="24"/>
          <w:szCs w:val="24"/>
          <w:lang w:val="zh-TW" w:eastAsia="zh-TW"/>
        </w:rPr>
      </w:pPr>
    </w:p>
    <w:p w:rsidR="00F51559" w:rsidRDefault="00F51559" w:rsidP="00F51559">
      <w:pPr>
        <w:pStyle w:val="10"/>
        <w:framePr w:wrap="auto" w:yAlign="inline"/>
        <w:spacing w:line="360" w:lineRule="auto"/>
        <w:ind w:firstLine="0"/>
        <w:rPr>
          <w:rFonts w:asciiTheme="minorEastAsia" w:eastAsiaTheme="minorEastAsia" w:hAnsiTheme="minorEastAsia" w:cs="宋体" w:hint="default"/>
          <w:b/>
          <w:sz w:val="24"/>
          <w:szCs w:val="24"/>
          <w:lang w:val="zh-TW"/>
        </w:rPr>
      </w:pPr>
      <w:r>
        <w:rPr>
          <w:rFonts w:asciiTheme="minorEastAsia" w:eastAsia="PMingLiU" w:hAnsiTheme="minorEastAsia" w:cs="宋体" w:hint="default"/>
          <w:b/>
          <w:sz w:val="24"/>
          <w:szCs w:val="24"/>
          <w:lang w:val="zh-TW" w:eastAsia="zh-TW"/>
        </w:rPr>
        <w:t>3</w:t>
      </w:r>
      <w:r>
        <w:rPr>
          <w:rFonts w:asciiTheme="minorEastAsia" w:eastAsiaTheme="minorEastAsia" w:hAnsiTheme="minorEastAsia" w:cs="宋体"/>
          <w:b/>
          <w:sz w:val="24"/>
          <w:szCs w:val="24"/>
          <w:lang w:val="zh-TW"/>
        </w:rPr>
        <w:t>、安全服务技术要求</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583"/>
        <w:gridCol w:w="11561"/>
      </w:tblGrid>
      <w:tr w:rsidR="00A019DA" w:rsidRPr="007F1EA1" w:rsidTr="00A019DA">
        <w:trPr>
          <w:trHeight w:val="480"/>
          <w:tblHeader/>
          <w:jc w:val="center"/>
        </w:trPr>
        <w:tc>
          <w:tcPr>
            <w:tcW w:w="1026" w:type="dxa"/>
            <w:shd w:val="clear" w:color="auto" w:fill="auto"/>
            <w:vAlign w:val="center"/>
            <w:hideMark/>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序号</w:t>
            </w:r>
          </w:p>
        </w:tc>
        <w:tc>
          <w:tcPr>
            <w:tcW w:w="1583" w:type="dxa"/>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服务类型</w:t>
            </w:r>
          </w:p>
        </w:tc>
        <w:tc>
          <w:tcPr>
            <w:tcW w:w="11561" w:type="dxa"/>
            <w:shd w:val="clear" w:color="auto" w:fill="auto"/>
            <w:vAlign w:val="center"/>
            <w:hideMark/>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内容及要求</w:t>
            </w:r>
          </w:p>
        </w:tc>
      </w:tr>
      <w:tr w:rsidR="00A019DA" w:rsidRPr="007F1EA1" w:rsidTr="00A019DA">
        <w:trPr>
          <w:trHeight w:val="375"/>
          <w:jc w:val="center"/>
        </w:trPr>
        <w:tc>
          <w:tcPr>
            <w:tcW w:w="1026" w:type="dxa"/>
            <w:vMerge w:val="restart"/>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1</w:t>
            </w:r>
          </w:p>
        </w:tc>
        <w:tc>
          <w:tcPr>
            <w:tcW w:w="1583" w:type="dxa"/>
            <w:vMerge w:val="restart"/>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资产识别与梳理</w:t>
            </w: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投标方需借助安全工具对招标方资产进行识别和梳理，并在后续服务过程中根据识别的资产变化情况触发资产变更等相关服务流程，确保资产信息的准确性和全面性</w:t>
            </w:r>
          </w:p>
        </w:tc>
      </w:tr>
      <w:tr w:rsidR="00A019DA" w:rsidRPr="007F1EA1" w:rsidTr="00A019DA">
        <w:trPr>
          <w:trHeight w:val="281"/>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结合安全工具发现的资产信息，首次进行服务范围内资产的全面梳理（梳理的信息包含支撑业务系统运转的操作系统、数据库、中间件、应用系统的版本，类型，IP地址；应用开放协议和端口；应用系统管理方式、资产的重要性以及网络拓扑），并将信息录入到安全运营平台中进行管理；当资产发生变更时，安全专家对变更信息进行确认与更新</w:t>
            </w:r>
          </w:p>
        </w:tc>
      </w:tr>
      <w:tr w:rsidR="00A019DA" w:rsidRPr="007F1EA1" w:rsidTr="00A019DA">
        <w:trPr>
          <w:trHeight w:val="399"/>
          <w:jc w:val="center"/>
        </w:trPr>
        <w:tc>
          <w:tcPr>
            <w:tcW w:w="1026" w:type="dxa"/>
            <w:vMerge w:val="restart"/>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2</w:t>
            </w:r>
          </w:p>
        </w:tc>
        <w:tc>
          <w:tcPr>
            <w:tcW w:w="1583" w:type="dxa"/>
            <w:vMerge w:val="restart"/>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安全现状评估</w:t>
            </w: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系统与Web漏洞扫描：对操作系统、数据库、常见应用/协议、Web通用漏洞与常规漏洞进行漏洞扫描</w:t>
            </w:r>
          </w:p>
        </w:tc>
      </w:tr>
      <w:tr w:rsidR="00A019DA" w:rsidRPr="007F1EA1" w:rsidTr="00A019DA">
        <w:trPr>
          <w:trHeight w:val="27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弱口令扫描：实现信息化资产不同应用弱口令猜解检测，如：SMB、Mssql、Mysql、Oracle、smtp、VNC、ftp、telnet、ssh、mysql、tomcat等</w:t>
            </w:r>
          </w:p>
        </w:tc>
      </w:tr>
      <w:tr w:rsidR="00A019DA" w:rsidRPr="007F1EA1" w:rsidTr="00A019DA">
        <w:trPr>
          <w:trHeight w:val="281"/>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基线配置核查：检查支撑信息化业务的主机操作系统、数据库、中间件的基线配置情况，确保达到相应的安全防护要求。检查项包含但不限于帐号和口令管理、认证、授权策略、网络与服务、进程和启动、文件系统权限、访问控制等配置情况</w:t>
            </w:r>
          </w:p>
        </w:tc>
      </w:tr>
      <w:tr w:rsidR="00A019DA" w:rsidRPr="007F1EA1" w:rsidTr="00A019DA">
        <w:trPr>
          <w:trHeight w:val="258"/>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勒索病毒事件分析：投标方需分析判断主机是否感染了勒索病毒；是否已感染勒索病毒文件；根据已发生的漏洞攻击行为分析判断否存在勒索病毒攻击等</w:t>
            </w:r>
          </w:p>
        </w:tc>
      </w:tr>
      <w:tr w:rsidR="00A019DA" w:rsidRPr="007F1EA1" w:rsidTr="00A019DA">
        <w:trPr>
          <w:trHeight w:val="289"/>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挖矿病毒事件分析：投标方需分析是否感染了挖矿病毒/木马；是否处于挖矿状态；根据已发生的漏洞攻击行为分析判断是否存在以植入挖矿木马为目的的漏洞攻击等</w:t>
            </w:r>
          </w:p>
        </w:tc>
      </w:tr>
      <w:tr w:rsidR="00A019DA" w:rsidRPr="007F1EA1" w:rsidTr="00A019DA">
        <w:trPr>
          <w:trHeight w:val="138"/>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蠕虫病毒事件：投标方需确认文件是否被感染，定位失陷的代码并进行修复</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针对漏洞利用攻击行为、Webshell上传行为、Web系统目录遍历攻击行为、SQL注入攻击行为、信息泄露攻击行为、口令暴力破解攻击行为、僵尸网络攻击行为、系统命令注入攻击行为及僵尸网络攻击行为进行分析评估，判断攻击行为是否成功以及业务风险点</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失陷主机分析：投标方需对失陷主机进行分析研判（如后门脚本类事件），并给出修复建议</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潜伏威胁分析：投标方需分析内网主机的非法外联威胁行为，判断是否存在潜伏威胁，并给出解决建议。含：对外攻击、APT C&amp;C通道、隐藏外联通道等外联威胁行为</w:t>
            </w:r>
          </w:p>
        </w:tc>
      </w:tr>
      <w:tr w:rsidR="00A019DA" w:rsidRPr="007F1EA1" w:rsidTr="00A019DA">
        <w:trPr>
          <w:trHeight w:val="357"/>
          <w:jc w:val="center"/>
        </w:trPr>
        <w:tc>
          <w:tcPr>
            <w:tcW w:w="1026" w:type="dxa"/>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3</w:t>
            </w:r>
          </w:p>
        </w:tc>
        <w:tc>
          <w:tcPr>
            <w:tcW w:w="1583" w:type="dxa"/>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问题处置</w:t>
            </w: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投标方需对发现的问题进行处置，包含内网脆弱性问题，病毒类事件，入侵行为，勒索、挖矿类事件等</w:t>
            </w:r>
          </w:p>
        </w:tc>
      </w:tr>
      <w:tr w:rsidR="00A019DA" w:rsidRPr="007F1EA1" w:rsidTr="00A019DA">
        <w:trPr>
          <w:trHeight w:val="357"/>
          <w:jc w:val="center"/>
        </w:trPr>
        <w:tc>
          <w:tcPr>
            <w:tcW w:w="1026" w:type="dxa"/>
            <w:vMerge w:val="restart"/>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4</w:t>
            </w:r>
          </w:p>
        </w:tc>
        <w:tc>
          <w:tcPr>
            <w:tcW w:w="1583" w:type="dxa"/>
            <w:vMerge w:val="restart"/>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漏洞管理</w:t>
            </w: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漏洞扫描与验证：投标方需提供不少于每月一次针对服务范围内的资产的系统漏洞和Web漏洞进行全量扫描，并针对发现的漏洞进行验证，验证漏洞在已有的安全体系发生的风险及分析发生后可造成的危害</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kern w:val="0"/>
              </w:rPr>
              <w:t>漏洞优先级排序：</w:t>
            </w:r>
            <w:r w:rsidRPr="007F1EA1">
              <w:rPr>
                <w:rFonts w:asciiTheme="minorEastAsia" w:eastAsiaTheme="minorEastAsia" w:hAnsiTheme="minorEastAsia" w:cs="宋体"/>
                <w:kern w:val="0"/>
              </w:rPr>
              <w:t>投标方需提供客观的漏洞修复优先级指导，不能以漏洞危害等级作为唯一的修复优先级排序依据。排序依据包含但不限于资产重要性、漏洞等级以及威胁情报（漏洞被利用的可能性）三个维度</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kern w:val="0"/>
              </w:rPr>
              <w:t>漏洞验证：</w:t>
            </w:r>
            <w:r w:rsidRPr="007F1EA1">
              <w:rPr>
                <w:rFonts w:asciiTheme="minorEastAsia" w:eastAsiaTheme="minorEastAsia" w:hAnsiTheme="minorEastAsia" w:cs="宋体"/>
                <w:kern w:val="0"/>
              </w:rPr>
              <w:t>提供漏洞验证服务，针对发现的漏洞进行验证，验证漏洞在已有的安全体系发生的风险及分析发生后可造成的危害。针对已经验证的漏洞，自动生成漏洞工单，安全专家跟进漏洞状态，各个处理进度透明，方便招标方清晰了解当前漏洞的处置状态，将漏洞处理工作可视化</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bCs/>
                <w:kern w:val="0"/>
              </w:rPr>
              <w:t>漏洞修复建议：</w:t>
            </w:r>
            <w:r w:rsidRPr="007F1EA1">
              <w:rPr>
                <w:rFonts w:asciiTheme="minorEastAsia" w:eastAsiaTheme="minorEastAsia" w:hAnsiTheme="minorEastAsia" w:cs="宋体"/>
                <w:kern w:val="0"/>
              </w:rPr>
              <w:t>针对存在的漏洞提供修复建议，能够提供精准、易懂、可落地的漏洞修复方案</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bCs/>
                <w:kern w:val="0"/>
              </w:rPr>
              <w:t>服务催单：</w:t>
            </w:r>
            <w:r w:rsidRPr="007F1EA1">
              <w:rPr>
                <w:rFonts w:asciiTheme="minorEastAsia" w:eastAsiaTheme="minorEastAsia" w:hAnsiTheme="minorEastAsia" w:cs="宋体"/>
                <w:kern w:val="0"/>
              </w:rPr>
              <w:t>针对服务平台生成的工单，招标方可按需催单，用户可在服务平台上采用邮件等方式提醒安全专家加快协助处置，督促投标方第一时间处理</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bCs/>
                <w:kern w:val="0"/>
              </w:rPr>
              <w:t>漏洞复测：</w:t>
            </w:r>
            <w:r w:rsidRPr="007F1EA1">
              <w:rPr>
                <w:rFonts w:asciiTheme="minorEastAsia" w:eastAsiaTheme="minorEastAsia" w:hAnsiTheme="minorEastAsia" w:cs="宋体"/>
                <w:kern w:val="0"/>
              </w:rPr>
              <w:t>需提供漏洞复测措施，及时检验漏洞真实修复情况。投标方要支持招标方可按需针对指定漏洞，指定资产等小范围进行，降低漏洞复测时的潜在影响范围</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bCs/>
                <w:kern w:val="0"/>
              </w:rPr>
              <w:t>漏洞状态总览：</w:t>
            </w:r>
            <w:r w:rsidRPr="007F1EA1">
              <w:rPr>
                <w:rFonts w:asciiTheme="minorEastAsia" w:eastAsiaTheme="minorEastAsia" w:hAnsiTheme="minorEastAsia" w:cs="宋体"/>
                <w:kern w:val="0"/>
              </w:rPr>
              <w:t>对发现的漏洞建立状态总览机制，自动化持续跟踪漏洞情况，清晰直观地展示漏洞的修复情况，遗留情况以及漏洞对比情况，使得招标方可做到漏洞的可视、可管、可控</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最新漏洞预警与排查：投标方需实时抓取互联网最新漏洞与详细资产信息进行匹配，对最新漏洞进行预警与排查。预警信息中包含最新漏洞信息、影响资产范围。</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最新漏洞处置指导：一旦确认漏洞影响范围后，安全专家提供专业的处置建议，处置建议包含两部分，补丁方案以及临时规避措施。</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最新漏洞复测与状态跟踪：由投标方对该最新漏洞建立状态追踪机制；跟踪修复状态，遗留情况。</w:t>
            </w:r>
          </w:p>
        </w:tc>
      </w:tr>
      <w:tr w:rsidR="00A019DA" w:rsidRPr="007F1EA1" w:rsidTr="00A019DA">
        <w:trPr>
          <w:trHeight w:val="357"/>
          <w:jc w:val="center"/>
        </w:trPr>
        <w:tc>
          <w:tcPr>
            <w:tcW w:w="1026" w:type="dxa"/>
            <w:vMerge w:val="restart"/>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5</w:t>
            </w:r>
          </w:p>
        </w:tc>
        <w:tc>
          <w:tcPr>
            <w:tcW w:w="1583" w:type="dxa"/>
            <w:vMerge w:val="restart"/>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威胁管理</w:t>
            </w: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结合大数据分析、人工智能、云端专家提供安全事件发现服务：依托于安全防护组件、检测响应组件和安全平台，将海量安全数据脱敏，包括漏洞信息、共享威胁情报、异常流量、攻击日志、病毒日志等数据，经由大数据处理平台结合人工智能和云端安全专家使用多种数据分析算法模型进行数据归因关联分析，实时监测网络安全状态,发现各类安全事件，并自动生成工单</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实时监测网络安全状态，对攻击事件自动化生成工单，及时进行分析与预警。攻击事件包含境外黑客攻击事件、暴力破解攻击事件、持续攻击事件</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实时监测网络安全状态，对病毒事件自动化生成工单,及时进行分析与预警。病毒类型包含勒索型、流行病毒、挖矿型、蠕虫型、外发DOS型、C&amp;C访问型、文件感染型、木马型</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投标方需针对每一类威胁，进行深度分析验证，分析判断是否存在其他可疑主机，将深度关联分析的结果通过邮件、微信等方式告知用户</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结合威胁情报，投标方需排查是否对用户资产造成威胁并通知用户，协助及时进行安全加固</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投标方需每月主动分析病毒类的安全事件：提供病毒处置工具，并针对服务范围内的业务资产使用病毒处置工具进行病毒查杀，对于服务范围外的业务资产，安全专家协助用户查杀病毒</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投标方需每月主动分析攻击类的安全事件：通过攻击日志分析，发现持续性攻击，立即采取行动实时对抗，当用户无防御措施时，提供攻击类安全事件的处置建议</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投标方需每月主动分析漏洞利用类的安全事件并验证该漏洞是否利用成功，提供工具协助处置</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投标方需每月主动分析失陷类的安全事件并协助用户处置，并提供溯源服务</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策略调配：新增资产、业务变更策略调优服务，业务变更时策略随业务变化而同步更新</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策略定期管理：投标方需每月对安全组件上的安全策略进行统一管理工作，确保安全组件上的安全策略始终处于最优水平，针对威胁能起到有效的防护效果</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通过攻击日志分析，发现持续性攻击，立即采取行动实时对抗</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通过全网大数据分析，发现有境外黑客或高级黑客正在攻击，立即采取行动封锁黑客行为</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实时针对异常流量分析、攻击日志和病毒日志分析，经过海量数据脱敏、聚合发现安全事件。</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针对分析得到的勒索病毒、挖矿病毒、篡改事件、webshell、僵尸网络等安全事件，通过工具和方法对恶意文件、代码进行根除，帮助招标方快速恢复业务，消除或减轻影响</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入侵影响抑制：通过事件检测分析，提供抑制手段，降低入侵影响，协助快速恢复业务</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入侵威胁清除：排查攻击路径，恶意文件清除</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入侵原因分析：还原攻击路径，分析入侵事件原因</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加固建议指导：结合现有安全防御体系，指导用户进行安全加固、提供整改建议、防止再次入侵</w:t>
            </w:r>
          </w:p>
        </w:tc>
      </w:tr>
      <w:tr w:rsidR="00A019DA" w:rsidRPr="007F1EA1" w:rsidTr="00A019DA">
        <w:trPr>
          <w:trHeight w:val="357"/>
          <w:jc w:val="center"/>
        </w:trPr>
        <w:tc>
          <w:tcPr>
            <w:tcW w:w="1026" w:type="dxa"/>
            <w:vMerge w:val="restart"/>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6</w:t>
            </w:r>
          </w:p>
        </w:tc>
        <w:tc>
          <w:tcPr>
            <w:tcW w:w="1583" w:type="dxa"/>
            <w:vMerge w:val="restart"/>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kern w:val="0"/>
              </w:rPr>
              <w:t>服务水平协议</w:t>
            </w:r>
          </w:p>
        </w:tc>
        <w:tc>
          <w:tcPr>
            <w:tcW w:w="11561" w:type="dxa"/>
            <w:vAlign w:val="center"/>
          </w:tcPr>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对安全事件服务水平作出承诺：</w:t>
            </w:r>
          </w:p>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1）从安全日志产生到事件通告</w:t>
            </w:r>
            <w:bookmarkStart w:id="0" w:name="_GoBack"/>
            <w:bookmarkEnd w:id="0"/>
            <w:r w:rsidRPr="007F1EA1">
              <w:rPr>
                <w:rFonts w:asciiTheme="minorEastAsia" w:eastAsiaTheme="minorEastAsia" w:hAnsiTheme="minorEastAsia" w:cs="宋体"/>
                <w:kern w:val="0"/>
              </w:rPr>
              <w:t>给招标方的时间方面，按照国际标准对安全事件的分类分级指南，重大安全事件和较大安全事件的通告时间小于30分钟，一般事件的通告时间少于1小时。</w:t>
            </w:r>
          </w:p>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lastRenderedPageBreak/>
              <w:t>2）在未配备投标方的边界防护服务组件和终端防护服务组件的情况下，运营服务对于重大安全事件和较大安全事件的遏制影响和处置完成时间小于4小时，对于一般事件的遏制影响和处置完成时间小于24小时。</w:t>
            </w:r>
          </w:p>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3）安全事件经过服务人员的确认后，各类安全事件的判断准确率不低于99%。</w:t>
            </w:r>
          </w:p>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4）在配备了投标方的边界防护服务组件和终端防护服务组件的情况下，安全事件的闭环处置比例达到100%。</w:t>
            </w:r>
          </w:p>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5）以上要求未达标的惩罚措施为：每不达标一次，服务时间延长一周。</w:t>
            </w:r>
          </w:p>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6）对于特别重大安全事件应启动应急响应机制，10分钟之内云端专家进行响应，同城2小时上门处置，同省4小时上门处置。</w:t>
            </w:r>
          </w:p>
          <w:p w:rsidR="000E48CF" w:rsidRPr="007F1EA1" w:rsidRDefault="000E48CF" w:rsidP="000E48CF">
            <w:pPr>
              <w:framePr w:wrap="auto" w:yAlign="inline"/>
              <w:widowControl/>
              <w:rPr>
                <w:rFonts w:asciiTheme="minorEastAsia" w:eastAsiaTheme="minorEastAsia" w:hAnsiTheme="minorEastAsia" w:cs="宋体" w:hint="default"/>
                <w:kern w:val="0"/>
              </w:rPr>
            </w:pPr>
            <w:r w:rsidRPr="007F1EA1">
              <w:rPr>
                <w:rFonts w:asciiTheme="minorEastAsia" w:eastAsiaTheme="minorEastAsia" w:hAnsiTheme="minorEastAsia" w:cs="宋体"/>
                <w:kern w:val="0"/>
              </w:rPr>
              <w:t>7）服务期内若发生一次特别重大安全事件，投标方将扣除服务合同金额3%作为赔偿金。</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安全威胁服务水平作出承诺：</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1）从安全日志产生到威胁通告给招标方的时间方面，高级威胁的通告时间少于30分钟，一般威胁的通告时间少于1小时。</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2）在未配备投标方的边界防护服务组件和终端防护服务组件的情况下，高级威胁和一般威胁的处置完成时间少于24小时。</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3）安全威胁经过服务人员的确认后，高级威胁和一般威胁的判断准确率不低于99%。</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4）在配备了投标方的边界防护服务组件和终端防护服务组件的情况下，高级威胁和一般威胁的闭环处置比例达到100%。</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5）以上要求未达标的惩罚措施为：每不达标一次，服务时间延长一周。</w:t>
            </w:r>
          </w:p>
        </w:tc>
      </w:tr>
      <w:tr w:rsidR="00A019DA" w:rsidRPr="007F1EA1" w:rsidTr="00A019DA">
        <w:trPr>
          <w:trHeight w:val="357"/>
          <w:jc w:val="center"/>
        </w:trPr>
        <w:tc>
          <w:tcPr>
            <w:tcW w:w="1026" w:type="dxa"/>
            <w:vMerge/>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p>
        </w:tc>
        <w:tc>
          <w:tcPr>
            <w:tcW w:w="1583" w:type="dxa"/>
            <w:vMerge/>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对安全漏洞服务水平作出承诺：</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1）在配备投标方的漏洞定期扫描服务组件的情况下，漏洞扫描的频率不低于每30天扫描一次。</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2）高危可利用漏洞从发现到完成闭环处置的时间少于7个工作日。</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3）高危可利用漏洞经服务人员确认后的准确率不低于99%。</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4）高危可利用漏洞的闭环处置比例达到100%。</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5）对于0day和最新漏洞，从发现漏洞到通告给招标方的时间少于8小时。</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6）在配备投标方的边界防护服务组件和终端防护服务组件的情况下，对于0day和最新漏洞，在发布相应的攻击POC之后，运营服务将在24小时内遏制漏洞的影响。</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7）0day漏洞经过服务人员确认后的准确率不低于99%。</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8）在配备了投标方的边界防护服务组件和终端防护服务组件的情况下，0day漏洞的闭环处置比例达到100%。</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9）以上要求未达标的惩罚措施为：每不达标一次，服务时间延长一周。</w:t>
            </w:r>
          </w:p>
        </w:tc>
      </w:tr>
      <w:tr w:rsidR="00A019DA" w:rsidRPr="007F1EA1" w:rsidTr="00A019DA">
        <w:trPr>
          <w:trHeight w:val="357"/>
          <w:jc w:val="center"/>
        </w:trPr>
        <w:tc>
          <w:tcPr>
            <w:tcW w:w="1026" w:type="dxa"/>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t>7</w:t>
            </w:r>
          </w:p>
        </w:tc>
        <w:tc>
          <w:tcPr>
            <w:tcW w:w="1583" w:type="dxa"/>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bCs/>
                <w:kern w:val="0"/>
              </w:rPr>
              <w:t>服务交付物</w:t>
            </w: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交付物名称：《安全服务运营报告》，报告频率：每周一次</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交付物名称：《首次威胁分析与处置报告》，报告频率：一次</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交付物名称：《事件分析与处置报告》，报告频率：按需触发，不限次数</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交付物名称：《安全报告》，报告频率：按需触发，不限次数</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交付物名称：《综合分析报告/运营月报》，报告频率：每月一次</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lastRenderedPageBreak/>
              <w:t>交付物名称：《勒索风险排查报告》，报告频率：每季度一次</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交付物名称：《季度汇报PPT》，报告频率：每季度一次</w:t>
            </w:r>
          </w:p>
          <w:p w:rsidR="000E48CF" w:rsidRPr="007F1EA1" w:rsidRDefault="000E48CF" w:rsidP="000E48CF">
            <w:pPr>
              <w:framePr w:wrap="auto" w:yAlign="inline"/>
              <w:widowControl/>
              <w:adjustRightInd w:val="0"/>
              <w:snapToGrid w:val="0"/>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交付物名称：《年度汇报PPT》，报告频率：每年一次</w:t>
            </w:r>
          </w:p>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kern w:val="0"/>
              </w:rPr>
              <w:t>中标后招标方有权要求中标方严格按照上述频率要求提供服务交付物，确保满足招标方安全需求。如中标方未能按时提供，招标方有权终止服务合同，中间产生任何费用由中标方自行承担</w:t>
            </w:r>
          </w:p>
        </w:tc>
      </w:tr>
      <w:tr w:rsidR="00A019DA" w:rsidRPr="007F1EA1" w:rsidTr="00A019DA">
        <w:trPr>
          <w:trHeight w:val="357"/>
          <w:jc w:val="center"/>
        </w:trPr>
        <w:tc>
          <w:tcPr>
            <w:tcW w:w="1026" w:type="dxa"/>
            <w:shd w:val="clear" w:color="auto" w:fill="auto"/>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b/>
                <w:bCs/>
                <w:kern w:val="0"/>
              </w:rPr>
            </w:pPr>
            <w:r w:rsidRPr="007F1EA1">
              <w:rPr>
                <w:rFonts w:asciiTheme="minorEastAsia" w:eastAsiaTheme="minorEastAsia" w:hAnsiTheme="minorEastAsia" w:cs="宋体"/>
                <w:b/>
                <w:bCs/>
                <w:kern w:val="0"/>
              </w:rPr>
              <w:lastRenderedPageBreak/>
              <w:t>8</w:t>
            </w:r>
          </w:p>
        </w:tc>
        <w:tc>
          <w:tcPr>
            <w:tcW w:w="1583" w:type="dxa"/>
            <w:vAlign w:val="center"/>
          </w:tcPr>
          <w:p w:rsidR="000E48CF" w:rsidRPr="007F1EA1" w:rsidRDefault="000E48CF" w:rsidP="000E48CF">
            <w:pPr>
              <w:framePr w:wrap="auto" w:yAlign="inline"/>
              <w:widowControl/>
              <w:jc w:val="center"/>
              <w:rPr>
                <w:rFonts w:asciiTheme="minorEastAsia" w:eastAsiaTheme="minorEastAsia" w:hAnsiTheme="minorEastAsia" w:cs="宋体" w:hint="default"/>
                <w:kern w:val="0"/>
              </w:rPr>
            </w:pPr>
            <w:r w:rsidRPr="007F1EA1">
              <w:rPr>
                <w:rFonts w:asciiTheme="minorEastAsia" w:eastAsiaTheme="minorEastAsia" w:hAnsiTheme="minorEastAsia" w:cs="宋体"/>
                <w:bCs/>
                <w:kern w:val="0"/>
              </w:rPr>
              <w:t>服务频率</w:t>
            </w:r>
          </w:p>
        </w:tc>
        <w:tc>
          <w:tcPr>
            <w:tcW w:w="11561" w:type="dxa"/>
            <w:vAlign w:val="center"/>
          </w:tcPr>
          <w:p w:rsidR="000E48CF" w:rsidRPr="007F1EA1" w:rsidRDefault="000E48CF" w:rsidP="000E48CF">
            <w:pPr>
              <w:framePr w:wrap="auto" w:yAlign="inline"/>
              <w:widowControl/>
              <w:jc w:val="left"/>
              <w:rPr>
                <w:rFonts w:asciiTheme="minorEastAsia" w:eastAsiaTheme="minorEastAsia" w:hAnsiTheme="minorEastAsia" w:cs="宋体" w:hint="default"/>
                <w:kern w:val="0"/>
              </w:rPr>
            </w:pPr>
            <w:r w:rsidRPr="007F1EA1">
              <w:rPr>
                <w:rFonts w:asciiTheme="minorEastAsia" w:eastAsiaTheme="minorEastAsia" w:hAnsiTheme="minorEastAsia" w:cs="宋体"/>
                <w:kern w:val="0"/>
              </w:rPr>
              <w:t>7*24小时持续专家服务，威胁发现及时响应</w:t>
            </w:r>
          </w:p>
        </w:tc>
      </w:tr>
    </w:tbl>
    <w:p w:rsidR="002A7F82" w:rsidRPr="000E48CF" w:rsidRDefault="002A7F82" w:rsidP="00F51559">
      <w:pPr>
        <w:pStyle w:val="10"/>
        <w:framePr w:wrap="auto" w:yAlign="inline"/>
        <w:spacing w:line="360" w:lineRule="auto"/>
        <w:ind w:firstLine="0"/>
        <w:rPr>
          <w:rFonts w:ascii="宋体" w:eastAsia="宋体" w:hAnsi="宋体" w:cs="宋体" w:hint="default"/>
          <w:color w:val="0070C0"/>
          <w:sz w:val="2"/>
          <w:szCs w:val="2"/>
          <w:u w:color="0070C0"/>
        </w:rPr>
      </w:pPr>
    </w:p>
    <w:sectPr w:rsidR="002A7F82" w:rsidRPr="000E48CF" w:rsidSect="00A019DA">
      <w:headerReference w:type="default" r:id="rId12"/>
      <w:pgSz w:w="16840" w:h="11900" w:orient="landscape" w:code="9"/>
      <w:pgMar w:top="1134" w:right="1440" w:bottom="1134" w:left="1315"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A02" w:rsidRDefault="00B65A02">
      <w:pPr>
        <w:framePr w:wrap="around"/>
        <w:rPr>
          <w:rFonts w:hint="default"/>
        </w:rPr>
      </w:pPr>
      <w:r>
        <w:separator/>
      </w:r>
    </w:p>
  </w:endnote>
  <w:endnote w:type="continuationSeparator" w:id="0">
    <w:p w:rsidR="00B65A02" w:rsidRDefault="00B65A02">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Neue">
    <w:altName w:val="Malgun Gothic"/>
    <w:charset w:val="00"/>
    <w:family w:val="auto"/>
    <w:pitch w:val="default"/>
    <w:sig w:usb0="00000000" w:usb1="00000000" w:usb2="0000001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F" w:rsidRDefault="002A113F">
    <w:pPr>
      <w:pStyle w:val="ab"/>
      <w:framePr w:wrap="auto" w:yAlign="in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A02" w:rsidRDefault="00B65A02">
      <w:pPr>
        <w:framePr w:wrap="around"/>
        <w:rPr>
          <w:rFonts w:hint="default"/>
        </w:rPr>
      </w:pPr>
      <w:r>
        <w:separator/>
      </w:r>
    </w:p>
  </w:footnote>
  <w:footnote w:type="continuationSeparator" w:id="0">
    <w:p w:rsidR="00B65A02" w:rsidRDefault="00B65A02">
      <w:pPr>
        <w:framePr w:wrap="around"/>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F" w:rsidRDefault="002A113F">
    <w:pPr>
      <w:pStyle w:val="ab"/>
      <w:framePr w:wrap="auto"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13F" w:rsidRDefault="002A113F">
    <w:pPr>
      <w:pStyle w:val="ab"/>
      <w:framePr w:wrap="auto" w:yAlign="inline"/>
    </w:pPr>
  </w:p>
  <w:p w:rsidR="002A113F" w:rsidRDefault="002A113F">
    <w:pPr>
      <w:pStyle w:val="ab"/>
      <w:framePr w:wrap="auto"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EEE"/>
    <w:multiLevelType w:val="multilevel"/>
    <w:tmpl w:val="10B52EE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nsid w:val="15504F7C"/>
    <w:multiLevelType w:val="multilevel"/>
    <w:tmpl w:val="15504F7C"/>
    <w:lvl w:ilvl="0">
      <w:start w:val="1"/>
      <w:numFmt w:val="decimal"/>
      <w:suff w:val="space"/>
      <w:lvlText w:val="%1"/>
      <w:lvlJc w:val="left"/>
      <w:pPr>
        <w:ind w:left="432" w:hanging="432"/>
      </w:pPr>
      <w:rPr>
        <w:rFonts w:ascii="Arial" w:eastAsia="宋体" w:hAnsi="Arial" w:cs="Arial" w:hint="default"/>
        <w:b/>
        <w:i w:val="0"/>
        <w:sz w:val="32"/>
      </w:rPr>
    </w:lvl>
    <w:lvl w:ilvl="1">
      <w:start w:val="1"/>
      <w:numFmt w:val="decimal"/>
      <w:pStyle w:val="2"/>
      <w:suff w:val="space"/>
      <w:lvlText w:val="%1.%2"/>
      <w:lvlJc w:val="left"/>
      <w:pPr>
        <w:ind w:left="2550" w:hanging="576"/>
      </w:pPr>
      <w:rPr>
        <w:rFonts w:ascii="Arial" w:eastAsia="宋体" w:hAnsi="Arial" w:cs="Arial" w:hint="default"/>
        <w:b/>
        <w:i w:val="0"/>
        <w:sz w:val="30"/>
        <w:szCs w:val="30"/>
      </w:rPr>
    </w:lvl>
    <w:lvl w:ilvl="2">
      <w:start w:val="1"/>
      <w:numFmt w:val="decimal"/>
      <w:suff w:val="space"/>
      <w:lvlText w:val="%1.%2.%3"/>
      <w:lvlJc w:val="left"/>
      <w:pPr>
        <w:ind w:left="1182" w:hanging="720"/>
      </w:pPr>
      <w:rPr>
        <w:rFonts w:ascii="Arial" w:eastAsia="宋体" w:hAnsi="Arial" w:cs="Arial" w:hint="default"/>
        <w:b/>
        <w:i w:val="0"/>
        <w:sz w:val="28"/>
      </w:rPr>
    </w:lvl>
    <w:lvl w:ilvl="3">
      <w:start w:val="1"/>
      <w:numFmt w:val="decimal"/>
      <w:suff w:val="space"/>
      <w:lvlText w:val="%1.%2.%3.%4"/>
      <w:lvlJc w:val="left"/>
      <w:pPr>
        <w:ind w:left="1224" w:hanging="1224"/>
      </w:pPr>
      <w:rPr>
        <w:rFonts w:ascii="Times New Roman" w:eastAsia="宋体" w:hAnsi="Times New Roman" w:cs="Arial" w:hint="default"/>
        <w:b/>
        <w:i w:val="0"/>
        <w:sz w:val="30"/>
        <w:szCs w:val="30"/>
      </w:rPr>
    </w:lvl>
    <w:lvl w:ilvl="4">
      <w:start w:val="1"/>
      <w:numFmt w:val="decimal"/>
      <w:suff w:val="space"/>
      <w:lvlText w:val="%1.%2.%3.%4.%5"/>
      <w:lvlJc w:val="left"/>
      <w:pPr>
        <w:ind w:left="1008" w:hanging="1008"/>
      </w:pPr>
      <w:rPr>
        <w:rFonts w:ascii="Arial" w:eastAsia="宋体" w:hAnsi="Arial" w:cs="Arial" w:hint="default"/>
        <w:b/>
        <w:i w:val="0"/>
        <w:sz w:val="21"/>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40151F1F"/>
    <w:multiLevelType w:val="multilevel"/>
    <w:tmpl w:val="40151F1F"/>
    <w:lvl w:ilvl="0">
      <w:start w:val="1"/>
      <w:numFmt w:val="decimal"/>
      <w:lvlText w:val="%1."/>
      <w:lvlJc w:val="left"/>
      <w:pPr>
        <w:tabs>
          <w:tab w:val="left" w:pos="420"/>
        </w:tabs>
        <w:ind w:left="420" w:hanging="420"/>
      </w:pPr>
      <w:rPr>
        <w:rFonts w:hint="eastAsia"/>
        <w:b w:val="0"/>
        <w:i w:val="0"/>
      </w:rPr>
    </w:lvl>
    <w:lvl w:ilvl="1">
      <w:start w:val="1"/>
      <w:numFmt w:val="decimal"/>
      <w:isLgl/>
      <w:lvlText w:val="%1.%2"/>
      <w:lvlJc w:val="left"/>
      <w:pPr>
        <w:ind w:left="704"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3">
    <w:nsid w:val="6282AB40"/>
    <w:multiLevelType w:val="singleLevel"/>
    <w:tmpl w:val="6282AB40"/>
    <w:lvl w:ilvl="0">
      <w:start w:val="3"/>
      <w:numFmt w:val="chineseCounting"/>
      <w:suff w:val="nothing"/>
      <w:lvlText w:val="%1、"/>
      <w:lvlJc w:val="left"/>
      <w:pPr>
        <w:ind w:left="120" w:firstLine="0"/>
      </w:pPr>
      <w:rPr>
        <w:rFonts w:hint="eastAsia"/>
      </w:rPr>
    </w:lvl>
  </w:abstractNum>
  <w:abstractNum w:abstractNumId="4">
    <w:nsid w:val="630B56B5"/>
    <w:multiLevelType w:val="multilevel"/>
    <w:tmpl w:val="475CE51C"/>
    <w:lvl w:ilvl="0">
      <w:start w:val="1"/>
      <w:numFmt w:val="decimal"/>
      <w:lvlText w:val="%1)"/>
      <w:lvlJc w:val="left"/>
      <w:pPr>
        <w:ind w:left="973" w:hanging="360"/>
      </w:pPr>
      <w:rPr>
        <w:rFonts w:hint="default"/>
      </w:rPr>
    </w:lvl>
    <w:lvl w:ilvl="1">
      <w:start w:val="1"/>
      <w:numFmt w:val="lowerLetter"/>
      <w:lvlText w:val="%2)"/>
      <w:lvlJc w:val="left"/>
      <w:pPr>
        <w:ind w:left="1453" w:hanging="420"/>
      </w:pPr>
    </w:lvl>
    <w:lvl w:ilvl="2">
      <w:start w:val="1"/>
      <w:numFmt w:val="lowerRoman"/>
      <w:lvlText w:val="%3."/>
      <w:lvlJc w:val="right"/>
      <w:pPr>
        <w:ind w:left="1873" w:hanging="420"/>
      </w:pPr>
    </w:lvl>
    <w:lvl w:ilvl="3">
      <w:start w:val="1"/>
      <w:numFmt w:val="decimal"/>
      <w:lvlText w:val="%4."/>
      <w:lvlJc w:val="left"/>
      <w:pPr>
        <w:ind w:left="2293" w:hanging="420"/>
      </w:pPr>
    </w:lvl>
    <w:lvl w:ilvl="4">
      <w:start w:val="1"/>
      <w:numFmt w:val="lowerLetter"/>
      <w:lvlText w:val="%5)"/>
      <w:lvlJc w:val="left"/>
      <w:pPr>
        <w:ind w:left="2713" w:hanging="420"/>
      </w:pPr>
    </w:lvl>
    <w:lvl w:ilvl="5">
      <w:start w:val="1"/>
      <w:numFmt w:val="lowerRoman"/>
      <w:lvlText w:val="%6."/>
      <w:lvlJc w:val="right"/>
      <w:pPr>
        <w:ind w:left="3133" w:hanging="420"/>
      </w:pPr>
    </w:lvl>
    <w:lvl w:ilvl="6">
      <w:start w:val="1"/>
      <w:numFmt w:val="decimal"/>
      <w:lvlText w:val="%7."/>
      <w:lvlJc w:val="left"/>
      <w:pPr>
        <w:ind w:left="3553" w:hanging="420"/>
      </w:pPr>
    </w:lvl>
    <w:lvl w:ilvl="7">
      <w:start w:val="1"/>
      <w:numFmt w:val="lowerLetter"/>
      <w:lvlText w:val="%8)"/>
      <w:lvlJc w:val="left"/>
      <w:pPr>
        <w:ind w:left="3973" w:hanging="420"/>
      </w:pPr>
    </w:lvl>
    <w:lvl w:ilvl="8">
      <w:start w:val="1"/>
      <w:numFmt w:val="lowerRoman"/>
      <w:lvlText w:val="%9."/>
      <w:lvlJc w:val="right"/>
      <w:pPr>
        <w:ind w:left="4393"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noPunctuationKerning/>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28"/>
    <w:rsid w:val="000412AD"/>
    <w:rsid w:val="000756AE"/>
    <w:rsid w:val="0007675A"/>
    <w:rsid w:val="00085376"/>
    <w:rsid w:val="000868FA"/>
    <w:rsid w:val="0009319F"/>
    <w:rsid w:val="000A595B"/>
    <w:rsid w:val="000A6CF7"/>
    <w:rsid w:val="000C1A14"/>
    <w:rsid w:val="000E48CF"/>
    <w:rsid w:val="00101B81"/>
    <w:rsid w:val="00181645"/>
    <w:rsid w:val="0019309A"/>
    <w:rsid w:val="001B69F4"/>
    <w:rsid w:val="001C241F"/>
    <w:rsid w:val="001C2901"/>
    <w:rsid w:val="001C4FB4"/>
    <w:rsid w:val="001C5795"/>
    <w:rsid w:val="001D42E4"/>
    <w:rsid w:val="00266056"/>
    <w:rsid w:val="0029497E"/>
    <w:rsid w:val="002A113F"/>
    <w:rsid w:val="002A7F82"/>
    <w:rsid w:val="002B19D1"/>
    <w:rsid w:val="002C0916"/>
    <w:rsid w:val="002C56C1"/>
    <w:rsid w:val="002E0867"/>
    <w:rsid w:val="002E1E7B"/>
    <w:rsid w:val="0030629B"/>
    <w:rsid w:val="00324D0E"/>
    <w:rsid w:val="00384EE5"/>
    <w:rsid w:val="003C5449"/>
    <w:rsid w:val="003E4115"/>
    <w:rsid w:val="003F5A91"/>
    <w:rsid w:val="0040568B"/>
    <w:rsid w:val="00443915"/>
    <w:rsid w:val="00447FCD"/>
    <w:rsid w:val="00451901"/>
    <w:rsid w:val="004816CF"/>
    <w:rsid w:val="004973A2"/>
    <w:rsid w:val="00497E36"/>
    <w:rsid w:val="004B6F0D"/>
    <w:rsid w:val="004D1C27"/>
    <w:rsid w:val="004F0ACB"/>
    <w:rsid w:val="004F6D78"/>
    <w:rsid w:val="004F710F"/>
    <w:rsid w:val="0050174A"/>
    <w:rsid w:val="0054723C"/>
    <w:rsid w:val="00555DBC"/>
    <w:rsid w:val="00560200"/>
    <w:rsid w:val="005669C8"/>
    <w:rsid w:val="005E645B"/>
    <w:rsid w:val="005F28D2"/>
    <w:rsid w:val="00602728"/>
    <w:rsid w:val="0060356C"/>
    <w:rsid w:val="00683314"/>
    <w:rsid w:val="006C0A5A"/>
    <w:rsid w:val="006C180B"/>
    <w:rsid w:val="006D1CA1"/>
    <w:rsid w:val="00701DDA"/>
    <w:rsid w:val="00702C4D"/>
    <w:rsid w:val="007366A7"/>
    <w:rsid w:val="00746691"/>
    <w:rsid w:val="0077035F"/>
    <w:rsid w:val="00782222"/>
    <w:rsid w:val="007C3FBB"/>
    <w:rsid w:val="007F055E"/>
    <w:rsid w:val="007F1EA1"/>
    <w:rsid w:val="0080031C"/>
    <w:rsid w:val="008004F9"/>
    <w:rsid w:val="00803A42"/>
    <w:rsid w:val="00820AE6"/>
    <w:rsid w:val="00845591"/>
    <w:rsid w:val="00853CF9"/>
    <w:rsid w:val="00897AC9"/>
    <w:rsid w:val="008C3A83"/>
    <w:rsid w:val="00903938"/>
    <w:rsid w:val="009139B6"/>
    <w:rsid w:val="00913CB3"/>
    <w:rsid w:val="0091683F"/>
    <w:rsid w:val="00934757"/>
    <w:rsid w:val="009713A8"/>
    <w:rsid w:val="00982900"/>
    <w:rsid w:val="009B2643"/>
    <w:rsid w:val="009C1D47"/>
    <w:rsid w:val="00A019DA"/>
    <w:rsid w:val="00A076FD"/>
    <w:rsid w:val="00A55A4B"/>
    <w:rsid w:val="00A642EF"/>
    <w:rsid w:val="00A81BAF"/>
    <w:rsid w:val="00AB17A4"/>
    <w:rsid w:val="00AC3A27"/>
    <w:rsid w:val="00AF558F"/>
    <w:rsid w:val="00B022E9"/>
    <w:rsid w:val="00B27C3D"/>
    <w:rsid w:val="00B65A02"/>
    <w:rsid w:val="00B94D96"/>
    <w:rsid w:val="00BA71A7"/>
    <w:rsid w:val="00BB356B"/>
    <w:rsid w:val="00BB484B"/>
    <w:rsid w:val="00BB6A05"/>
    <w:rsid w:val="00BD7CBD"/>
    <w:rsid w:val="00BE21AA"/>
    <w:rsid w:val="00C0699E"/>
    <w:rsid w:val="00C9628E"/>
    <w:rsid w:val="00CB3240"/>
    <w:rsid w:val="00CE77D1"/>
    <w:rsid w:val="00D055A9"/>
    <w:rsid w:val="00D20C37"/>
    <w:rsid w:val="00D5279D"/>
    <w:rsid w:val="00D7062D"/>
    <w:rsid w:val="00D72808"/>
    <w:rsid w:val="00DE1987"/>
    <w:rsid w:val="00E00A62"/>
    <w:rsid w:val="00E134D1"/>
    <w:rsid w:val="00E1660F"/>
    <w:rsid w:val="00E16C52"/>
    <w:rsid w:val="00E232BD"/>
    <w:rsid w:val="00E5277A"/>
    <w:rsid w:val="00ED4A77"/>
    <w:rsid w:val="00EE38BF"/>
    <w:rsid w:val="00EE71AA"/>
    <w:rsid w:val="00F35AB9"/>
    <w:rsid w:val="00F51559"/>
    <w:rsid w:val="00F83333"/>
    <w:rsid w:val="00F92208"/>
    <w:rsid w:val="00FA0099"/>
    <w:rsid w:val="00FC5AE0"/>
    <w:rsid w:val="00FD3391"/>
    <w:rsid w:val="01FC7814"/>
    <w:rsid w:val="10EF3323"/>
    <w:rsid w:val="1D045C32"/>
    <w:rsid w:val="1F832F7E"/>
    <w:rsid w:val="22FB58BE"/>
    <w:rsid w:val="240D46C8"/>
    <w:rsid w:val="26FA0C21"/>
    <w:rsid w:val="2C545CCD"/>
    <w:rsid w:val="386652BB"/>
    <w:rsid w:val="3EF778D4"/>
    <w:rsid w:val="416A342D"/>
    <w:rsid w:val="4182144E"/>
    <w:rsid w:val="44800139"/>
    <w:rsid w:val="4CE76A01"/>
    <w:rsid w:val="4E3E5821"/>
    <w:rsid w:val="52DC3E03"/>
    <w:rsid w:val="58820A0C"/>
    <w:rsid w:val="628C1B2E"/>
    <w:rsid w:val="65007DDE"/>
    <w:rsid w:val="74CC7BE3"/>
    <w:rsid w:val="75F147A5"/>
    <w:rsid w:val="7B18295D"/>
    <w:rsid w:val="7D9A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styleId="1">
    <w:name w:val="heading 1"/>
    <w:basedOn w:val="a"/>
    <w:next w:val="a"/>
    <w:qFormat/>
    <w:pPr>
      <w:keepNext/>
      <w:keepLines/>
      <w:framePr w:wrap="around"/>
      <w:spacing w:before="340" w:after="330" w:line="578" w:lineRule="auto"/>
      <w:jc w:val="center"/>
      <w:outlineLvl w:val="0"/>
    </w:pPr>
    <w:rPr>
      <w:b/>
      <w:bCs/>
      <w:kern w:val="44"/>
      <w:sz w:val="32"/>
      <w:szCs w:val="44"/>
    </w:rPr>
  </w:style>
  <w:style w:type="paragraph" w:styleId="2">
    <w:name w:val="heading 2"/>
    <w:basedOn w:val="a"/>
    <w:next w:val="a"/>
    <w:qFormat/>
    <w:pPr>
      <w:keepNext/>
      <w:keepLines/>
      <w:framePr w:wrap="around"/>
      <w:numPr>
        <w:ilvl w:val="1"/>
        <w:numId w:val="1"/>
      </w:numPr>
      <w:spacing w:before="260" w:after="260" w:line="416" w:lineRule="auto"/>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framePr w:wrap="around"/>
      <w:autoSpaceDE w:val="0"/>
      <w:autoSpaceDN w:val="0"/>
      <w:adjustRightInd w:val="0"/>
      <w:jc w:val="left"/>
    </w:pPr>
    <w:rPr>
      <w:rFonts w:ascii="宋体" w:hAnsi="Tahoma"/>
      <w:sz w:val="28"/>
      <w:szCs w:val="20"/>
    </w:rPr>
  </w:style>
  <w:style w:type="paragraph" w:styleId="a4">
    <w:name w:val="Plain Text"/>
    <w:basedOn w:val="a"/>
    <w:link w:val="Char"/>
    <w:uiPriority w:val="99"/>
    <w:unhideWhenUsed/>
    <w:qFormat/>
    <w:pPr>
      <w:framePr w:wrap="around" w:yAlign="inline"/>
    </w:pPr>
    <w:rPr>
      <w:rFonts w:ascii="Times New Roman" w:eastAsia="宋体" w:hAnsi="Times New Roman" w:cs="Times New Roman" w:hint="default"/>
      <w:color w:val="auto"/>
      <w:szCs w:val="20"/>
    </w:rPr>
  </w:style>
  <w:style w:type="paragraph" w:styleId="a5">
    <w:name w:val="Balloon Text"/>
    <w:basedOn w:val="a"/>
    <w:link w:val="Char0"/>
    <w:qFormat/>
    <w:pPr>
      <w:framePr w:wrap="around"/>
    </w:pPr>
    <w:rPr>
      <w:sz w:val="18"/>
      <w:szCs w:val="18"/>
    </w:rPr>
  </w:style>
  <w:style w:type="paragraph" w:styleId="a6">
    <w:name w:val="footer"/>
    <w:basedOn w:val="a"/>
    <w:link w:val="Char1"/>
    <w:qFormat/>
    <w:pPr>
      <w:framePr w:wrap="around"/>
      <w:tabs>
        <w:tab w:val="center" w:pos="4153"/>
        <w:tab w:val="right" w:pos="8306"/>
      </w:tabs>
      <w:snapToGrid w:val="0"/>
      <w:jc w:val="left"/>
    </w:pPr>
    <w:rPr>
      <w:sz w:val="18"/>
      <w:szCs w:val="18"/>
    </w:rPr>
  </w:style>
  <w:style w:type="paragraph" w:styleId="a7">
    <w:name w:val="header"/>
    <w:basedOn w:val="a"/>
    <w:link w:val="Char2"/>
    <w:qFormat/>
    <w:pPr>
      <w:framePr w:wrap="around"/>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framePr w:wrap="around"/>
      <w:spacing w:before="240" w:after="60" w:line="312" w:lineRule="auto"/>
      <w:jc w:val="left"/>
      <w:outlineLvl w:val="1"/>
    </w:pPr>
    <w:rPr>
      <w:rFonts w:ascii="Calibri Light" w:hAnsi="Calibri Light"/>
      <w:b/>
      <w:bCs/>
      <w:kern w:val="28"/>
      <w:sz w:val="28"/>
      <w:szCs w:val="32"/>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b">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Char2">
    <w:name w:val="页眉 Char"/>
    <w:basedOn w:val="a0"/>
    <w:link w:val="a7"/>
    <w:qFormat/>
    <w:rPr>
      <w:rFonts w:ascii="Arial Unicode MS" w:eastAsia="Times New Roman" w:hAnsi="Arial Unicode MS" w:cs="Arial Unicode MS"/>
      <w:color w:val="000000"/>
      <w:kern w:val="2"/>
      <w:sz w:val="18"/>
      <w:szCs w:val="18"/>
      <w:u w:color="000000"/>
    </w:rPr>
  </w:style>
  <w:style w:type="character" w:customStyle="1" w:styleId="Char1">
    <w:name w:val="页脚 Char"/>
    <w:basedOn w:val="a0"/>
    <w:link w:val="a6"/>
    <w:qFormat/>
    <w:rPr>
      <w:rFonts w:ascii="Arial Unicode MS" w:eastAsia="Times New Roman" w:hAnsi="Arial Unicode MS" w:cs="Arial Unicode MS"/>
      <w:color w:val="000000"/>
      <w:kern w:val="2"/>
      <w:sz w:val="18"/>
      <w:szCs w:val="18"/>
      <w:u w:color="000000"/>
    </w:rPr>
  </w:style>
  <w:style w:type="paragraph" w:styleId="ac">
    <w:name w:val="List Paragraph"/>
    <w:basedOn w:val="a"/>
    <w:uiPriority w:val="34"/>
    <w:qFormat/>
    <w:pPr>
      <w:framePr w:wrap="around"/>
      <w:ind w:firstLineChars="200" w:firstLine="420"/>
    </w:pPr>
    <w:rPr>
      <w:rFonts w:asciiTheme="minorHAnsi" w:eastAsiaTheme="minorEastAsia" w:hAnsiTheme="minorHAnsi" w:cstheme="minorBidi" w:hint="default"/>
      <w:color w:val="auto"/>
      <w:szCs w:val="22"/>
    </w:rPr>
  </w:style>
  <w:style w:type="paragraph" w:customStyle="1" w:styleId="11">
    <w:name w:val="列出段落11"/>
    <w:basedOn w:val="a"/>
    <w:qFormat/>
    <w:pPr>
      <w:framePr w:wrap="around"/>
      <w:ind w:firstLineChars="200" w:firstLine="420"/>
    </w:pPr>
    <w:rPr>
      <w:rFonts w:ascii="Calibri" w:eastAsia="宋体" w:hAnsi="Calibri" w:cs="黑体" w:hint="default"/>
      <w:color w:val="auto"/>
      <w:szCs w:val="22"/>
    </w:rPr>
  </w:style>
  <w:style w:type="character" w:customStyle="1" w:styleId="12">
    <w:name w:val="标题1"/>
    <w:qFormat/>
    <w:rPr>
      <w:rFonts w:ascii="Tahoma" w:hAnsi="Tahoma"/>
      <w:sz w:val="24"/>
    </w:rPr>
  </w:style>
  <w:style w:type="character" w:customStyle="1" w:styleId="Char0">
    <w:name w:val="批注框文本 Char"/>
    <w:basedOn w:val="a0"/>
    <w:link w:val="a5"/>
    <w:qFormat/>
    <w:rPr>
      <w:rFonts w:ascii="Arial Unicode MS" w:eastAsia="Times New Roman" w:hAnsi="Arial Unicode MS" w:cs="Arial Unicode MS"/>
      <w:color w:val="000000"/>
      <w:kern w:val="2"/>
      <w:sz w:val="18"/>
      <w:szCs w:val="18"/>
      <w:u w:color="000000"/>
    </w:rPr>
  </w:style>
  <w:style w:type="character" w:customStyle="1" w:styleId="Char">
    <w:name w:val="纯文本 Char"/>
    <w:basedOn w:val="a0"/>
    <w:link w:val="a4"/>
    <w:uiPriority w:val="99"/>
    <w:qFormat/>
    <w:rPr>
      <w:kern w:val="2"/>
      <w:sz w:val="21"/>
    </w:rPr>
  </w:style>
  <w:style w:type="paragraph" w:customStyle="1" w:styleId="TableParagraph">
    <w:name w:val="Table Paragraph"/>
    <w:basedOn w:val="a"/>
    <w:uiPriority w:val="1"/>
    <w:qFormat/>
    <w:pPr>
      <w:framePr w:wrap="around" w:yAlign="inline"/>
    </w:pPr>
    <w:rPr>
      <w:rFonts w:ascii="Calibri" w:eastAsia="宋体" w:hAnsi="Calibri" w:cs="Times New Roman" w:hint="default"/>
      <w:color w:val="auto"/>
      <w:szCs w:val="24"/>
    </w:rPr>
  </w:style>
  <w:style w:type="paragraph" w:styleId="ad">
    <w:name w:val="Normal (Web)"/>
    <w:basedOn w:val="a"/>
    <w:uiPriority w:val="99"/>
    <w:qFormat/>
    <w:rsid w:val="006D1CA1"/>
    <w:pPr>
      <w:framePr w:wrap="auto" w:yAlign="inline"/>
      <w:widowControl/>
      <w:spacing w:before="100" w:beforeAutospacing="1" w:after="100" w:afterAutospacing="1"/>
      <w:jc w:val="left"/>
    </w:pPr>
    <w:rPr>
      <w:rFonts w:ascii="Times New Roman" w:eastAsia="宋体" w:hAnsi="Times New Roman" w:cs="Times New Roman" w:hint="default"/>
      <w:color w:val="auto"/>
      <w:kern w:val="0"/>
      <w:sz w:val="24"/>
      <w:szCs w:val="24"/>
    </w:rPr>
  </w:style>
  <w:style w:type="paragraph" w:customStyle="1" w:styleId="-12">
    <w:name w:val="彩色列表 - 着色 12"/>
    <w:basedOn w:val="a"/>
    <w:uiPriority w:val="34"/>
    <w:qFormat/>
    <w:rsid w:val="006D1CA1"/>
    <w:pPr>
      <w:framePr w:wrap="auto" w:yAlign="inline"/>
      <w:ind w:firstLineChars="200" w:firstLine="420"/>
    </w:pPr>
    <w:rPr>
      <w:rFonts w:ascii="Times New Roman" w:eastAsia="宋体" w:hAnsi="Times New Roman" w:cs="Times New Roman" w:hint="default"/>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framePr w:wrap="around" w:hAnchor="text" w:y="1"/>
      <w:widowControl w:val="0"/>
      <w:jc w:val="both"/>
    </w:pPr>
    <w:rPr>
      <w:rFonts w:ascii="Arial Unicode MS" w:eastAsia="Times New Roman" w:hAnsi="Arial Unicode MS" w:cs="Arial Unicode MS" w:hint="eastAsia"/>
      <w:color w:val="000000"/>
      <w:kern w:val="2"/>
      <w:sz w:val="21"/>
      <w:szCs w:val="21"/>
      <w:u w:color="000000"/>
    </w:rPr>
  </w:style>
  <w:style w:type="paragraph" w:styleId="1">
    <w:name w:val="heading 1"/>
    <w:basedOn w:val="a"/>
    <w:next w:val="a"/>
    <w:qFormat/>
    <w:pPr>
      <w:keepNext/>
      <w:keepLines/>
      <w:framePr w:wrap="around"/>
      <w:spacing w:before="340" w:after="330" w:line="578" w:lineRule="auto"/>
      <w:jc w:val="center"/>
      <w:outlineLvl w:val="0"/>
    </w:pPr>
    <w:rPr>
      <w:b/>
      <w:bCs/>
      <w:kern w:val="44"/>
      <w:sz w:val="32"/>
      <w:szCs w:val="44"/>
    </w:rPr>
  </w:style>
  <w:style w:type="paragraph" w:styleId="2">
    <w:name w:val="heading 2"/>
    <w:basedOn w:val="a"/>
    <w:next w:val="a"/>
    <w:qFormat/>
    <w:pPr>
      <w:keepNext/>
      <w:keepLines/>
      <w:framePr w:wrap="around"/>
      <w:numPr>
        <w:ilvl w:val="1"/>
        <w:numId w:val="1"/>
      </w:numPr>
      <w:spacing w:before="260" w:after="260" w:line="416" w:lineRule="auto"/>
      <w:outlineLvl w:val="1"/>
    </w:pPr>
    <w:rPr>
      <w:rFonts w:ascii="Arial" w:eastAsia="黑体"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framePr w:wrap="around"/>
      <w:autoSpaceDE w:val="0"/>
      <w:autoSpaceDN w:val="0"/>
      <w:adjustRightInd w:val="0"/>
      <w:jc w:val="left"/>
    </w:pPr>
    <w:rPr>
      <w:rFonts w:ascii="宋体" w:hAnsi="Tahoma"/>
      <w:sz w:val="28"/>
      <w:szCs w:val="20"/>
    </w:rPr>
  </w:style>
  <w:style w:type="paragraph" w:styleId="a4">
    <w:name w:val="Plain Text"/>
    <w:basedOn w:val="a"/>
    <w:link w:val="Char"/>
    <w:uiPriority w:val="99"/>
    <w:unhideWhenUsed/>
    <w:qFormat/>
    <w:pPr>
      <w:framePr w:wrap="around" w:yAlign="inline"/>
    </w:pPr>
    <w:rPr>
      <w:rFonts w:ascii="Times New Roman" w:eastAsia="宋体" w:hAnsi="Times New Roman" w:cs="Times New Roman" w:hint="default"/>
      <w:color w:val="auto"/>
      <w:szCs w:val="20"/>
    </w:rPr>
  </w:style>
  <w:style w:type="paragraph" w:styleId="a5">
    <w:name w:val="Balloon Text"/>
    <w:basedOn w:val="a"/>
    <w:link w:val="Char0"/>
    <w:qFormat/>
    <w:pPr>
      <w:framePr w:wrap="around"/>
    </w:pPr>
    <w:rPr>
      <w:sz w:val="18"/>
      <w:szCs w:val="18"/>
    </w:rPr>
  </w:style>
  <w:style w:type="paragraph" w:styleId="a6">
    <w:name w:val="footer"/>
    <w:basedOn w:val="a"/>
    <w:link w:val="Char1"/>
    <w:qFormat/>
    <w:pPr>
      <w:framePr w:wrap="around"/>
      <w:tabs>
        <w:tab w:val="center" w:pos="4153"/>
        <w:tab w:val="right" w:pos="8306"/>
      </w:tabs>
      <w:snapToGrid w:val="0"/>
      <w:jc w:val="left"/>
    </w:pPr>
    <w:rPr>
      <w:sz w:val="18"/>
      <w:szCs w:val="18"/>
    </w:rPr>
  </w:style>
  <w:style w:type="paragraph" w:styleId="a7">
    <w:name w:val="header"/>
    <w:basedOn w:val="a"/>
    <w:link w:val="Char2"/>
    <w:qFormat/>
    <w:pPr>
      <w:framePr w:wrap="around"/>
      <w:pBdr>
        <w:bottom w:val="single" w:sz="6" w:space="1" w:color="auto"/>
      </w:pBdr>
      <w:tabs>
        <w:tab w:val="center" w:pos="4153"/>
        <w:tab w:val="right" w:pos="8306"/>
      </w:tabs>
      <w:snapToGrid w:val="0"/>
      <w:jc w:val="center"/>
    </w:pPr>
    <w:rPr>
      <w:sz w:val="18"/>
      <w:szCs w:val="18"/>
    </w:rPr>
  </w:style>
  <w:style w:type="paragraph" w:styleId="a8">
    <w:name w:val="Subtitle"/>
    <w:basedOn w:val="a"/>
    <w:next w:val="a"/>
    <w:qFormat/>
    <w:pPr>
      <w:framePr w:wrap="around"/>
      <w:spacing w:before="240" w:after="60" w:line="312" w:lineRule="auto"/>
      <w:jc w:val="left"/>
      <w:outlineLvl w:val="1"/>
    </w:pPr>
    <w:rPr>
      <w:rFonts w:ascii="Calibri Light" w:hAnsi="Calibri Light"/>
      <w:b/>
      <w:bCs/>
      <w:kern w:val="28"/>
      <w:sz w:val="28"/>
      <w:szCs w:val="32"/>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b">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10">
    <w:name w:val="列出段落1"/>
    <w:qFormat/>
    <w:pPr>
      <w:framePr w:wrap="around" w:hAnchor="text" w:y="1"/>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Char2">
    <w:name w:val="页眉 Char"/>
    <w:basedOn w:val="a0"/>
    <w:link w:val="a7"/>
    <w:qFormat/>
    <w:rPr>
      <w:rFonts w:ascii="Arial Unicode MS" w:eastAsia="Times New Roman" w:hAnsi="Arial Unicode MS" w:cs="Arial Unicode MS"/>
      <w:color w:val="000000"/>
      <w:kern w:val="2"/>
      <w:sz w:val="18"/>
      <w:szCs w:val="18"/>
      <w:u w:color="000000"/>
    </w:rPr>
  </w:style>
  <w:style w:type="character" w:customStyle="1" w:styleId="Char1">
    <w:name w:val="页脚 Char"/>
    <w:basedOn w:val="a0"/>
    <w:link w:val="a6"/>
    <w:qFormat/>
    <w:rPr>
      <w:rFonts w:ascii="Arial Unicode MS" w:eastAsia="Times New Roman" w:hAnsi="Arial Unicode MS" w:cs="Arial Unicode MS"/>
      <w:color w:val="000000"/>
      <w:kern w:val="2"/>
      <w:sz w:val="18"/>
      <w:szCs w:val="18"/>
      <w:u w:color="000000"/>
    </w:rPr>
  </w:style>
  <w:style w:type="paragraph" w:styleId="ac">
    <w:name w:val="List Paragraph"/>
    <w:basedOn w:val="a"/>
    <w:uiPriority w:val="34"/>
    <w:qFormat/>
    <w:pPr>
      <w:framePr w:wrap="around"/>
      <w:ind w:firstLineChars="200" w:firstLine="420"/>
    </w:pPr>
    <w:rPr>
      <w:rFonts w:asciiTheme="minorHAnsi" w:eastAsiaTheme="minorEastAsia" w:hAnsiTheme="minorHAnsi" w:cstheme="minorBidi" w:hint="default"/>
      <w:color w:val="auto"/>
      <w:szCs w:val="22"/>
    </w:rPr>
  </w:style>
  <w:style w:type="paragraph" w:customStyle="1" w:styleId="11">
    <w:name w:val="列出段落11"/>
    <w:basedOn w:val="a"/>
    <w:qFormat/>
    <w:pPr>
      <w:framePr w:wrap="around"/>
      <w:ind w:firstLineChars="200" w:firstLine="420"/>
    </w:pPr>
    <w:rPr>
      <w:rFonts w:ascii="Calibri" w:eastAsia="宋体" w:hAnsi="Calibri" w:cs="黑体" w:hint="default"/>
      <w:color w:val="auto"/>
      <w:szCs w:val="22"/>
    </w:rPr>
  </w:style>
  <w:style w:type="character" w:customStyle="1" w:styleId="12">
    <w:name w:val="标题1"/>
    <w:qFormat/>
    <w:rPr>
      <w:rFonts w:ascii="Tahoma" w:hAnsi="Tahoma"/>
      <w:sz w:val="24"/>
    </w:rPr>
  </w:style>
  <w:style w:type="character" w:customStyle="1" w:styleId="Char0">
    <w:name w:val="批注框文本 Char"/>
    <w:basedOn w:val="a0"/>
    <w:link w:val="a5"/>
    <w:qFormat/>
    <w:rPr>
      <w:rFonts w:ascii="Arial Unicode MS" w:eastAsia="Times New Roman" w:hAnsi="Arial Unicode MS" w:cs="Arial Unicode MS"/>
      <w:color w:val="000000"/>
      <w:kern w:val="2"/>
      <w:sz w:val="18"/>
      <w:szCs w:val="18"/>
      <w:u w:color="000000"/>
    </w:rPr>
  </w:style>
  <w:style w:type="character" w:customStyle="1" w:styleId="Char">
    <w:name w:val="纯文本 Char"/>
    <w:basedOn w:val="a0"/>
    <w:link w:val="a4"/>
    <w:uiPriority w:val="99"/>
    <w:qFormat/>
    <w:rPr>
      <w:kern w:val="2"/>
      <w:sz w:val="21"/>
    </w:rPr>
  </w:style>
  <w:style w:type="paragraph" w:customStyle="1" w:styleId="TableParagraph">
    <w:name w:val="Table Paragraph"/>
    <w:basedOn w:val="a"/>
    <w:uiPriority w:val="1"/>
    <w:qFormat/>
    <w:pPr>
      <w:framePr w:wrap="around" w:yAlign="inline"/>
    </w:pPr>
    <w:rPr>
      <w:rFonts w:ascii="Calibri" w:eastAsia="宋体" w:hAnsi="Calibri" w:cs="Times New Roman" w:hint="default"/>
      <w:color w:val="auto"/>
      <w:szCs w:val="24"/>
    </w:rPr>
  </w:style>
  <w:style w:type="paragraph" w:styleId="ad">
    <w:name w:val="Normal (Web)"/>
    <w:basedOn w:val="a"/>
    <w:uiPriority w:val="99"/>
    <w:qFormat/>
    <w:rsid w:val="006D1CA1"/>
    <w:pPr>
      <w:framePr w:wrap="auto" w:yAlign="inline"/>
      <w:widowControl/>
      <w:spacing w:before="100" w:beforeAutospacing="1" w:after="100" w:afterAutospacing="1"/>
      <w:jc w:val="left"/>
    </w:pPr>
    <w:rPr>
      <w:rFonts w:ascii="Times New Roman" w:eastAsia="宋体" w:hAnsi="Times New Roman" w:cs="Times New Roman" w:hint="default"/>
      <w:color w:val="auto"/>
      <w:kern w:val="0"/>
      <w:sz w:val="24"/>
      <w:szCs w:val="24"/>
    </w:rPr>
  </w:style>
  <w:style w:type="paragraph" w:customStyle="1" w:styleId="-12">
    <w:name w:val="彩色列表 - 着色 12"/>
    <w:basedOn w:val="a"/>
    <w:uiPriority w:val="34"/>
    <w:qFormat/>
    <w:rsid w:val="006D1CA1"/>
    <w:pPr>
      <w:framePr w:wrap="auto" w:yAlign="inline"/>
      <w:ind w:firstLineChars="200" w:firstLine="420"/>
    </w:pPr>
    <w:rPr>
      <w:rFonts w:ascii="Times New Roman" w:eastAsia="宋体" w:hAnsi="Times New Roman" w:cs="Times New Roman"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E2109-11DF-4225-86EF-F6EC3000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1635</Words>
  <Characters>9320</Characters>
  <Application>Microsoft Office Word</Application>
  <DocSecurity>0</DocSecurity>
  <Lines>77</Lines>
  <Paragraphs>21</Paragraphs>
  <ScaleCrop>false</ScaleCrop>
  <Company>Microsoft</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宁雁青</cp:lastModifiedBy>
  <cp:revision>4</cp:revision>
  <cp:lastPrinted>2019-12-11T08:20:00Z</cp:lastPrinted>
  <dcterms:created xsi:type="dcterms:W3CDTF">2022-03-31T01:16:00Z</dcterms:created>
  <dcterms:modified xsi:type="dcterms:W3CDTF">2022-04-01T00:40:00Z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6D4818B0C8EA4A81ADDD046D5D55EFAD</vt:lpwstr>
  </property>
</Properties>
</file>